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2011. gada 1. februāra noteikumos Nr. 109 "Kārtība, kādā atsavināma publiskas personas manta"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Publiskas personas mantas atsavināšanas likuma</w:t>
      </w:r>
      <w:r>
        <w:br/>
      </w:r>
      <w:r w:rsidR="00000000" w:rsidRPr="00000000" w:rsidDel="00000000">
        <w:rPr>
          <w:rStyle w:val="paragraph"/>
          <w:i w:val="1"/>
          <w:rtl w:val="0"/>
        </w:rPr>
        <w:t xml:space="preserve">4.panta 1.</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daļu, trešo un piekto daļu, 5.panta pirmo daļu,</w:t>
      </w:r>
      <w:r>
        <w:br/>
      </w:r>
      <w:r w:rsidR="00000000" w:rsidRPr="00000000" w:rsidDel="00000000">
        <w:rPr>
          <w:rStyle w:val="paragraph"/>
          <w:i w:val="1"/>
          <w:rtl w:val="0"/>
        </w:rPr>
        <w:t xml:space="preserve">6.panta pirmo daļu, 38.</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ceturto daļu un 47.pantu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2011. gada 1. februāra noteikumos Nr. 109 "Kārtība, kādā atsavināma publiskas personas manta" (Latvijas Vēstnesis, 2011, 25. nr.; 2013, 208., 250. nr.; 2016, 149. nr.; 2018, 73. nr.; 2019, 240. nr.; 2020, 26., 148. nr.; 2024, 120., 250. nr.; 2025, 210.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1.1.</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kārtību, kādā noskaidro publiskas personas vai tās iestāžu vajadzību pēc tāda nekustamā īpašuma, kurš nodots privatizācijai un kura privatizācija ir izbeigta vai privatizācijas tiesības nav izmantotas likumā noteiktajā termiņā, vajadzību pēc tāda nekustamā īpašuma, kurš atzīts par bezmantinieku vai bezīpašnieku mantu, kā arī vajadzību pēc zemes starpgabala un tāda nekustamā īpašuma, kura kadastrālā vērtība ir zemāka par 10 000</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 Ministru kabineta rīkojuma projekta iesniegšanu Ministru kabinetā par atsavināšanas ierosinājuma atteikumu, ja atsavināšanas ierosinājumu iesniedzis atsavināšanas ierosinātājs;".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 Ministru kabineta rīkojuma projekta iesniegšanu Ministru kabinetā par attiecīgā valsts nekustamā īpašuma nodošanu tās valdījumā vai turējumā vai atvasinātas publiskas personas īpašumā vai, ja mainās valsts nekustamā īpašuma valdītājs no ministrijas uz ministriju, attiecīgā ministrija nodrošina ministrijas lēmuma par valdītāja maiņu iesniegšanu ministrijai, kura virzījusi Ministru kabineta rīkojuma projektu par attiecīgā īpašuma nodošanu atsavināšanai."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18.9.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"18.9. cirsmu kā valsts kustamo mantu un tajā iegūto produkciju."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26-TA-1266</w:t>
    </w:r>
    <w:r>
      <w:br/>
    </w:r>
    <w:r w:rsidR="00000000" w:rsidRPr="00000000" w:rsidDel="00000000">
      <w:rPr>
        <w:rtl w:val="0"/>
      </w:rPr>
      <w:t xml:space="preserve">Izdrukāts 17.09.2026. 09.18 - 2.0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26-TA-1266</w:t>
    </w:r>
    <w:r>
      <w:br/>
    </w:r>
    <w:r w:rsidR="00000000" w:rsidRPr="00000000" w:rsidDel="00000000">
      <w:rPr>
        <w:rtl w:val="0"/>
      </w:rPr>
      <w:t xml:space="preserve">Izdrukāts 17.09.2026. 09.18 - 2.0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noteikumu_(grozījumu)_projekts_26-TA-1266.docx</dc:title>
</cp:coreProperties>
</file>

<file path=docProps/custom.xml><?xml version="1.0" encoding="utf-8"?>
<Properties xmlns="http://schemas.openxmlformats.org/officeDocument/2006/custom-properties" xmlns:vt="http://schemas.openxmlformats.org/officeDocument/2006/docPropsVTypes"/>
</file>