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173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18. martā (prot. Nr. 11 30.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2010. gada 9. februāra noteikumos Nr. 124 "Dārzeņu pavairojamā materiāla atbilstības kritēriji un aprites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Augu aizsardzības likuma</w:t>
      </w:r>
      <w:r w:rsidR="00000000" w:rsidRPr="00000000" w:rsidDel="00000000">
        <w:rPr>
          <w:rStyle w:val="paragraph"/>
          <w:i w:val="1"/>
          <w:rtl w:val="0"/>
        </w:rPr>
        <w:t xml:space="preserve"> 5.panta 3.punktu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2010. gada 9. februāra noteikumos Nr. 124 "Dārzeņu pavairojamā materiāla atbilstības kritēriji un aprites kārtība" (Latvijas Vēstnesis, 2010, 25. nr.; 2014, 33. nr.; 2020, 107. nr.; 2022, 224.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8.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"8) Komisijas 2024. gada 29. novembra Īstenošanas Direktīvas (ES) 2024/3010, ar ko attiecībā uz sēklās un citā augu reproduktīvajā materiālā sastopamo kaitīgo organismu iekļaušanu sarakstā groza Padomes Direktīvas 2002/55/EK un 2002/57/EK un Komisijas Direktīvu 93/61/EEK.";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31. maijā.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ministra pienākumu izpildītājs ‒ 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24-TA-2875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24-TA-2875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noteikumu_(grozījumu)_projekts_24-TA-2875.docx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