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janvārī (prot. Nr. 2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 </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w:t>
      </w:r>
      <w:r w:rsidR="00000000" w:rsidRPr="00000000" w:rsidDel="00000000">
        <w:rPr>
          <w:rStyle w:val="paragraph"/>
          <w:i w:val="1"/>
          <w:rtl w:val="0"/>
        </w:rPr>
        <w:t xml:space="preserve">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 (Latvijas Vēstnesis, 2023, 136.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mērķis –  pabeigto investīciju projektu skaits – 21 projekts;".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valstij piederošu polderu sūkņu staciju atjaunošana un pārbūve;".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 esošas būves atjaunošanas un pārbūves izmaksas, tajā skaitā izmaksas, kas saistītas ar būvniecības uzsākšanu un būves pieņemšanu ekspluatācijā, kā arī esošās infrastruktūras un labiekārtojuma elementu atjaunošanas izmaksas, nepārsniedzot 10 procentu no būvdarbu attiecināmajām izmaksām, ja to atjaunošana ir pamatota ar valsts nozīmes ūdensnoteku vai būvju drošu ekspluatāciju, nodrošina vides pieejamību, kā arī iedzīvotāju un atbildīgo dienestu pārvietošanos pret plūdu risku aizsargātajā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"20.4. atjaunojot vai pārbūvējot būves, pēc iespējas dot priekšroku zaļās infrastruktūras elementiem, izmantojot vidē balstītus risinājumus;".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 par vismaz 50 procentiem būvniecības līgumu no kopējā atjaunojamo un pārbūvējamo būvju skaita – līdz 2024. gada 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 par atlikušajiem atjaunojamo vai pārbūvējamo būvju būvniecības līgumiem  – līdz 2025. gada 1.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23-TA-3233</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23-TA-3233</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noteikumu_(grozījumu)_projekts_23-TA-3233.docx</dc:title>
</cp:coreProperties>
</file>

<file path=docProps/custom.xml><?xml version="1.0" encoding="utf-8"?>
<Properties xmlns="http://schemas.openxmlformats.org/officeDocument/2006/custom-properties" xmlns:vt="http://schemas.openxmlformats.org/officeDocument/2006/docPropsVTypes"/>
</file>