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162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martā (prot. Nr. 16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19. decembra noteikumos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2023. gada 19. decembra noteikumos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 (Latvijas Vēstnesis, 2023, 247.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prasības projekta iesniedzējam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Prasības projekta iesniedzējam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Pasākuma ietvaros projekta iesniedzējs ir Veselības ministrija – vadošā valsts pārvaldes iestāde veselības nozarē, kas izstrādā, organizē un uzrauga valsts politiku sabiedrības veselības jomā. Finansējuma saņēmējs ir Slimību profilakses un kontroles centrs – tiešās pārvaldes iestāde veselības nozarē, kas izstrādā slimību profilakses un veselības veicināšanas programmas un veic to īstenošanas metodisko vadību, kā arī plāno, metodiski vada, organizē, koordinē un veic pētījumus sabiedrības veselības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Šo noteikumu 13. punktā minētais finansējuma saņēmējs pasākumā sadarbības partneru statusā var iesaistīt Veselības ministrijas noteiktās metodiskās vadības institūcijas, kuras atbilstoši ar Veselības ministriju noslēgtam deleģēšanas līgumam īsteno metodiskās vadības uzdevumus un atbilstoši kompetencei veic metodiskās vadības institūcijai noteiktos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Šo noteikumu 13. punktā minētais finansējuma saņēmējs pasākumā sadarbības partneru statusā var iesaistīt Veselības ministrijas noteiktās metodiskās vadības institūcijas, kuras atbilstoši ar Veselības ministriju noslēgtam deleģēšanas līgumam īsteno metodiskās vadības uzdevumus un atbilstoši kompetencei veic metodiskās vadības institūcijai noteiktos pienākumus, kā arī Veselības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Šo noteikumu 13. punktā minētais finansējuma saņēmējs atbilstoši normatīvajiem aktiem par kārtību, kādā Eiropas Savienības fondu vadībā iesaistītās institūcijas nodrošina šo fondu ieviešanu 2021.–2027. gada plānošanas periodā, slēdz sadarbības līgumus ar sadarbības partneriem, kontrolē to izpildi un novērš dubultā finansējuma riskus. Sadarbības līgumā iekļauj vismaz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1. sadarbības partnera īstenojamās atbalstāmās darbības un to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2. pārskatu un citas informācijas iesniegšanas kārtība un termiņi.";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Finansējuma saņēmējs un sadarbības partneri (ja attiecināms), iesaistoties projekta īstenošanā, nodrošina, ka funkcijas, kuras tie pilda projekta īstenošanā, tiek nodalītas no pamatfunkciju izpildes un saimnieciskās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Sadarbības partneris iesaistās projekta īstenošanā ar saviem resursiem, tai skaitā ar tā īpašumā, valdījumā, turējumā vai lietojumā esošo nekustamo īpašumu, kā arī nodrošina pārskatu un citas informācijas iesniegšanu atbilstoši sadarbības līgumā noteiktajai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Projekta iesniedzējs sagatavo projekta iesniegumu atbilstoši projektu iesniegumu atlases nolikumā noteiktajām prasībām un iesniedz to sadarbības iestādē, izmantojot Kohēzijas politikas fondu vadības informācijas sistēmu. Projekta iesniegumam pievieno projekta iesniedzēja parakstītu apliecinājumu par interešu konflikta neesību, ievērojot Eiropas Parlamenta un Padomes 2024. gada 23. septembra Regulas (ES, Euratom) 2024/2509 par finanšu noteikumiem, ko piemēro Savienības vispārējam budžetam (pārstrādāta redakcija), 61. pantā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klīnisko vadlīniju, klīnisko kvalitātes indikatoru, klīnisko pacientu ceļu un atbilstoši starptautiski atzītām vadlīnijām profesionāļu izstrādātu klīnisko algoritmu izstrāde, aktualizēšana, ieviešana un uzraudzība, tai skaitā pilotprojektu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Šo noteikumu 15.1. apakšpunktā minētās darbības ietvaros šo noteikumu 13. punktā minētajam finansējuma saņēmējam un šo noteikumu 13.</w:t>
      </w:r>
      <w:r w:rsidR="00000000" w:rsidRPr="00000000" w:rsidDel="00000000">
        <w:rPr>
          <w:vertAlign w:val="superscript"/>
          <w:rtl w:val="0"/>
        </w:rPr>
        <w:t xml:space="preserve">1</w:t>
      </w:r>
      <w:r w:rsidR="00000000" w:rsidRPr="00000000" w:rsidDel="00000000">
        <w:rPr>
          <w:rtl w:val="0"/>
        </w:rPr>
        <w:t xml:space="preserve"> punktā minētajiem sadarbības partneriem ir attiecināmas izmaksas, kas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plānojamas kā viena izmaksu pozīcija, piemērojot izmaksu vienoto likmi 20 procentu apmērā no šo noteikumu 19.2. apakšpunktā minētajām projekta pārējām tiešajām attiecināmajām īstenošanas izmaksām. Minētās atbalstāmās darbības ietvaros ir attiecināmas finansējuma saņēmēja un sadarbības partneru projekta vadības personāla un īstenošanas personāla atlīdzības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Šo noteikumu 15.2., 15.3., 15.4. un 15.5. apakšpunktā minētās darbības ir atbalstāmas šo noteikumu 13. punktā minētajam finansējuma saņēmējam un šo noteikumu 13.</w:t>
      </w:r>
      <w:r w:rsidR="00000000" w:rsidRPr="00000000" w:rsidDel="00000000">
        <w:rPr>
          <w:vertAlign w:val="superscript"/>
          <w:rtl w:val="0"/>
        </w:rPr>
        <w:t xml:space="preserve">1</w:t>
      </w:r>
      <w:r w:rsidR="00000000" w:rsidRPr="00000000" w:rsidDel="00000000">
        <w:rPr>
          <w:rtl w:val="0"/>
        </w:rPr>
        <w:t xml:space="preserve"> punktā minētajiem sadarbības partneriem, un tās ietver šādas attiecināmo izmaksu pozīcijas: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metodisko materiālu, pētījumu, vadlīniju, aptauju un citu atbalstāmo darbību īstenošanai nepieciešamo dokumentu izstrādes un aktualizēšanas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apmācību organizēšanas un īstenošanas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konsultantu, ekspertu un citu kvalitātes vadības sistēmas ieviešanai nepieciešamo pakalpojumu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informatīvo semināru, konferenču un sabiedrības informēšanas pasākumu organizēšanas un īstenošanas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izmaksas horizontālā principa "Vienlīdzība, iekļaušana, nediskriminācija un pamattiesību ievērošana" darbību īstenošanai (tai skaitā subtitrēšanas un reāllaika transkripcijas pakalpojumu izmaksas, jomas konsultantu izmaksas, pandusu nomas, indukcijas cilpu nomas, zīmju valodas tulku un vieglās valodas tulkošanas pakalpojumu izmaksas), ja tās ir nepieciešamas vides un informācijas piekļūstamības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 izmaksas, kas projekta ietvaros saistītas ar pilotprojekta vadību un darbības nodrošināšanu;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17.7. iekšzemes komandējumu un darba braucienu izmaksas šo noteikumu 15.2., 15.3., 15.4. un 15.5. apakšpunktā minēto atbalstāmo darbību īstenošanai. Iekšzemes komandējumu izmaksas tiek segtas atbilstoši nosacījumiem, kas iekļauti vadošās iestādes metodikā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 transporta izmaksas šo noteikumu 15.2., 15.3., 15.4. un 15.5. apakšpunktā minēto atbalstāmo darbību īstenošanai atbilstoši vadošās iestādes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17.9. ārvalstu komandējumu izmaksas šo noteikumu 15.5. apakšpunktā minētās atbalstāmās darbības īstenošanai. Ārvalstu komandējumu izmaksas ir attiecināmas projekta vadības un īstenošanas personālam, kā arī citiem projektā iesaistītajiem, ja komandējuma nepieciešamība ir pamatota un tieši saistīta ar projekta mērķa sasniegšanu. Minētās izmaksas aprēķina un atlīdzina atbilstoši normatīvajiem aktiem par kārtību, kādā atlīdzināmi ar komandējumiem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Šo noteikumu 15.6. apakšpunktā minētā darbība ir atbalstāma šo noteikumu 13. punktā minētajam finansējuma saņēmējam un šo noteikumu 13.</w:t>
      </w:r>
      <w:r w:rsidR="00000000" w:rsidRPr="00000000" w:rsidDel="00000000">
        <w:rPr>
          <w:vertAlign w:val="superscript"/>
          <w:rtl w:val="0"/>
        </w:rPr>
        <w:t xml:space="preserve">1</w:t>
      </w:r>
      <w:r w:rsidR="00000000" w:rsidRPr="00000000" w:rsidDel="00000000">
        <w:rPr>
          <w:rtl w:val="0"/>
        </w:rPr>
        <w:t xml:space="preserve"> punktā minētajiem sadarbības partneriem, un tā ietver ar projekta darbībām tieši saistīto publicitātes pasākumu izmaksas šo noteikumu 23.3. apakšpunktā minēto prasību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Pasākuma ietvaros finansējuma saņēmējs izveido projekta vadības un uzraudzības darba grupu, kuras sastāvā pieaicina atbildīgās iestādes pārstāvi (novērotāja statusā) un kuras sanāksmes tiek organizētas pēc nepieciešamības, bet ne retāk kā reizi gadā. Ja nepieciešams, darba grupas sanāksmēs var tikt pieaicināti sadarbības partneru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Īstenojot projektu, finansējuma saņēmējs un sadarbības partneri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nodrošina, ka atbalstāmo darbību īstenošanai nepieciešamie iepirkumi tiek veikti, ievērojot publiskā iepirkuma procedūru regulējošos normatīvos aktus un īstenojot atklātu, pārredzamu, nediskriminējošu un konkurenci nodrošinošu procedūru, un, kur tas ir attiecināms un atbilstošs projekta darbības specifikai, īsteno sociāli atbildīgus iepirkumus;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izveido iekšējās kontroles sistēmu korupcijas un interešu konflikta riska novēršanai publiskas personas institūcijā atbilstoši normatīvajiem aktiem par iekšējās kontroles sistēmas pamatprasībām korupcijas un interešu konflikta riska novēršanai publiskas personas institūcijā;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nodrošina komunikācijas un vizuālās identitātes nosacījumu ievērošanu atbilstoši regulas 2021/1060 47. un 50. pantam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nodrošina, ka projektā plānotie darbi netiek finansēti vai līdzfinansēti un nav plānots tos finansēt vai līdzfinansēt no citiem valsts vai ārvalstu finanšu atbalsta instrumentiem, un novērš dubultā finansējuma risku;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uzkrāj šādus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23.5.1. par horizontālā principa "Vienlīdzība, iekļaušana, nediskriminācija un pamattiesību ievērošana" rādītāju – pasākumu un izstrādāto materiālu skaits, kuru saturā integrēti nediskriminācijas jautājumi, tostarp par tiesiskajiem un praktiskajiem aspektiem;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23.5.2. par projekta dalībniekiem, kuri uzskaitāmi atbilstoši Eiropas Parlamenta un Padomes 2021. gada 24. jūnija Regulas (ES)  2021/1057, ar ko izveido Eiropas Sociālo fondu Plus (ESF+) un atceļ Regulu (ES) Nr.  1296/2013, I pielikumam un normatīvā akta par Eiropas Savienības fondu projektu pārbaužu veikšanas kārtību 2021.–2027. gada plānošanas periodā 1. pielikumam, ja persona piedalās ārstniecības un ārstniecības atbalsta personāla izglītošanas pasākumā pacientu drošības un veselības aprūpes kvalitātes vadības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23.6. ja attiecināms, projekta ietvaros, veicot iepirkumus, nodrošina vides prasību integrāciju preču un pakalpojumu iepirkumos – zaļais publiskais iepirkums, kā arī izvērtē inovatīva publiskā iepirkuma nosacījumu piemērošanu."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1.3. un 1.5. apakšpunkts stājas spēkā 2026. gada 5. maijā.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1.4. apakšpunkts zaudē spēku 2026. gada 4.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25-TA-2880</w:t>
    </w:r>
    <w:r>
      <w:br/>
    </w:r>
    <w:r w:rsidR="00000000" w:rsidRPr="00000000" w:rsidDel="00000000">
      <w:rPr>
        <w:rtl w:val="0"/>
      </w:rPr>
      <w:t xml:space="preserve">Izdrukāts 29.07.2026. 22.56 - 1.0.VK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25-TA-2880</w:t>
    </w:r>
    <w:r>
      <w:br/>
    </w:r>
    <w:r w:rsidR="00000000" w:rsidRPr="00000000" w:rsidDel="00000000">
      <w:rPr>
        <w:rtl w:val="0"/>
      </w:rPr>
      <w:t xml:space="preserve">Izdrukāts 29.07.2026. 22.56 - 1.0.VK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noteikumu_(grozījumu)_projekts_25-TA-2880.docx</dc:title>
</cp:coreProperties>
</file>

<file path=docProps/custom.xml><?xml version="1.0" encoding="utf-8"?>
<Properties xmlns="http://schemas.openxmlformats.org/officeDocument/2006/custom-properties" xmlns:vt="http://schemas.openxmlformats.org/officeDocument/2006/docPropsVTypes"/>
</file>