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(Latvijas Vēstnesis, 2023, 211. nr.; 2024, 42. nr.; 2025, 20.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konsultants – juridiska vai fiziska persona (saimnieciskas darbības veicējs), kas savas saimnieciskās darbības ietvaros sniedz konsultāciju pakalpojumus lauksaimniecības vai mežsaimniecības jomā, kurai ir vismaz trīs gadu darba pieredze konsultāciju sniegšanā un nav komerciālas intereses par lauksaimnieciskajā ražošanā izmantojamās tehnikas vai ķīmisko un bioloģisko materiālu reklamēšanu un izplatīšanu;".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Projekta gala rezultātam jābūt praktiski pielietojamam un komerciāli izmantojamam risinājumam, piemēram, testētai metodei vai tehnoloģijai, kas ir gatava ieviešanai uzņēmuma vai nozares praksē, vai tieši vērsta uz ieviešanu, sasniedzot augstāku tehnoloģiju gatavības līmeni.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Darba grupa projekta laikā kopīgi nodrošina gala rezultāta praktisku pielietojumu saimnieciskajā darbībā vai sniedz apliecinājumu par ieviešanas plānu, kurā skaidri definēti termiņi, atbildīgie sadarbības partneri un paredzētā pielietojuma vieta.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9.3.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Pēc projekta īstenošanas beigām (noslēguma pārskata iesniegšanas) radīto jauno produktu, praksi, procesu vai jauno tehnoloģiju var izmantot komerciāliem mērķiem. Projektā radītie digitālie risinājumi ir brīvi pieejami lietotājiem, un tos var brīvi izplatīt bez ekskluzivitātes un diskriminēšanas, piemēram, izmantojot mācīšanu, brīvas piekļuves datubāzes, atklātās publikācijas vai atklātā pirmkoda programmatūru."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vadošais partneris vai sadarbības partneri ir īstenojuši, īsteno vai plāno īstenot citus projektus, projekta iesniegumā norāda informāciju par visiem minētajiem projektiem un skaidro dubultā finansējuma riska novēršanu, nodrošinot, ka par vienām un tām pašām izmaksām netiek saņemts finansējums no vairākiem finanšu atbalsta instrumentiem.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Pirms projektā plānoto darbību uzsākšanas vai līguma noslēgšanas ar piegāžu vai pakalpojuma sniedzēju vadošais partneris iesniedz saskaņošanai Lauku atbalsta dienestā iepirkumu dokumentāciju, tostarp cenu aptauju. Projektā plānotās darbības uzsāk un līgumu ar piegāžu vai pakalpojuma sniedzēju noslēdz pēc saskaņojuma saņemšanas no Lauku atbalsta dienesta. Šo nosacījumu atbalsta pretendentam nepiemēro, ja iepirkuma kopējā summa nepārsniedz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Darba grupa uzskatāma par jaunu atbalsta saņēmēju, ja darba grupas sadarbības partneru skaits mainās vairāk nekā par 70 procentiem. Nozares līmeņa un saimniecības līmeņa projektiem darba grupas vērtē atsevišķi."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tas veido jaunu sadarbību starp vismaz trim dažādām šo noteikumu 22. punktā minētajām personām, no kurām vismaz viens ir lauksaimnieks vai mežsaimnieks saimniecības līmeņa projektos, bet nozares līmeņa projektos – vismaz trīs ir lauksaimnieki vai mežsaimnieki, un kuras savstarpēji nav saistītas, ievērojot šo noteikumu 20.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23.4.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pievieno iekšējā lēmuma pieņemšanas kārtību, kas nodrošina lēmumu pieņemšanas caurskatāmību un novērš interešu konfliktu;".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27.1.2.5.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"27.1.2.5.</w:t>
      </w:r>
      <w:r w:rsidR="00000000" w:rsidRPr="00000000" w:rsidDel="00000000">
        <w:rPr>
          <w:vertAlign w:val="superscript"/>
          <w:rtl w:val="0"/>
        </w:rPr>
        <w:t xml:space="preserve">1</w:t>
      </w:r>
      <w:r w:rsidR="00000000" w:rsidRPr="00000000" w:rsidDel="00000000">
        <w:rPr>
          <w:rtl w:val="0"/>
        </w:rPr>
        <w:t xml:space="preserve"> norāda projekta sākuma tehnoloģiskās gatavības līmeni (TRL) un pamato plānoto attīstības progresu, kā arī paredzētās darbības, kas nodrošinās TRL paaugstināšanu projekta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27.1.2.6.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"27.1.2.6. projekta rezultātu ieviešanu praksē, norādot konkrētu uzņēmumu, saimniecību vai nozares segmentus, kur rezultāts tiks ieviests, kā arī sagaidāmo ietekmi;".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27.1.2.12.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"27.1.2.12. tirgus izpēti un analīzi, ietverot ekonomiskās lietderības novērtējumu un nozares vajadzību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Projekts ir noraidāms, ja Lauku atbalsta dienests, izvērtējot projekta iesniegumu atbilstoši šo noteikumu 30. punktam, konstatē, ka plānotais ieguldījums neatbilst sasniedzamajiem mērķiem vai sasniedzamie mērķi nav samērīgi ar kopējo attiecināmo izmaksu apmēru, kā arī gadījumā, ja ekspertu vērtējums projekta kvalitātei ir zemāks par noteikto minimālo punktu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Darba grupa viena mēneša laikā pēc projekta apstiprināšanas iesniedz Lauku atbalsta dienestā projekta kopsavilkumu un rezultātu aprakstu, tostarp angļu valodā, un Zemkopības ministrija to nosūta Eiropas Komisijai saskaņā ar Komisijas 2022. gada 6. septembra Īstenošanas regulas (ES) 2022/1475, ar ko nosaka sīki izstrādātus noteikumus par to, kā Eiropas Parlamenta un Padomes Regulu (ES) 2021/2115 īsteno attiecībā uz KLP stratēģisko plānu izvērtēšanu un uzraudzībai un izvērtēšanai vajadzīgās informācijas sniegšanu, 13.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Vadošais partneris nodrošina, ka projektam ir noteikta kontaktpersona projekta īstenošanas un uzraudzības periodā, kā arī visā 2023.–2027. gada plānošanas periodā, un, kura atbild par komunikāciju ar Lauku atbalsta dienestu un Eiropas Inovāciju partnerības tīkla Sekretariātu, kā arī par informācijas sniegšanu par projekta īstenošanas un rezultātu publiskošanu.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Ja atbalsta saņēmējs, īstenojot projektu, iegādājas vai iegulda kapitālu produktīvās investīcijās, tiek piemērota atbalsta intensitāte 40 procentu apmērā. Pētniecības organizācijām, iegādājoties materiāltehnisko bāzi, piemēram, iekārtas, instrumentus, aprīkojumu vai laboratorijas tehniku, tiek piemērota 90 procentu atbalsta intensitāte."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Pēdējo maksājumu, kas ir vismaz 10 procenti no attiecināmo izmaksu summas, atbalsta saņēmējs saņem pēc projekta iesniegumā paredzēto ieguldījumu pilnīgas īstenošanas un projekta rezultātu publiskošanas saskaņā ar šo noteikumu 40. punktu, kā arī pēc maksājuma pieprasījuma iesniegšanas Lauku atbalsta dienestā. Pēdējo maksājuma pieprasījumu iesniedz kopā ar gala pārskatu par projekta īstenošanas rezultātiem vai ieviešanas plānu, kurā skaidri definēti īstenošanas termiņi, atbildīgie sadarbības partneri un paredzētā projekta rezultātu pielietojuma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61.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Ja projekts ietver informācijas tehnoloģiju risinājumu, atbalsta saņēmējs uzraudzības periodā nodrošina šī risinājuma pieejamību un izmantojamību atbilstoši projekta mērķim. Lauku atbalsta dienests divus gadus pēc projekta īstenošanas pabeigšanas veic ar projektu saistīto datubāžu un iesniegtās informācijas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Starpvalstu sadarbības mērķis ir veicināt kvalitatīvu pieredzes apmaiņu inovatīvu starpvalstu sadarbības projektu īstenošanā nozares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65.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Projekts uzskatāms par starpvalstu sadarbības projektu, ja tajā piedalās vismaz divu dalībvalstu darba grupas, kas kopīgi īsteno projekta mērķus un aktivitātes, nodrošinot savstarpēji papildinošu ieguldījumu projekta rezultātu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65.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2</w:t>
      </w:r>
      <w:r w:rsidR="00000000" w:rsidRPr="00000000" w:rsidDel="00000000">
        <w:rPr>
          <w:rtl w:val="0"/>
        </w:rPr>
        <w:t xml:space="preserve"> Starpvalstu sadarbības projekti tiek vērtēti kā nacionālās nozīmes projekti, un uz tiem attiecas visi šo noteikumu nosacījumi, kas piemērojami nacionālās nozīmes projektiem.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26-TA-528</w:t>
    </w:r>
    <w:r>
      <w:br/>
    </w:r>
    <w:r w:rsidR="00000000" w:rsidRPr="00000000" w:rsidDel="00000000">
      <w:rPr>
        <w:rtl w:val="0"/>
      </w:rPr>
      <w:t xml:space="preserve">Izdrukāts 29.07.2026. 22.27 - 1.0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26-TA-528</w:t>
    </w:r>
    <w:r>
      <w:br/>
    </w:r>
    <w:r w:rsidR="00000000" w:rsidRPr="00000000" w:rsidDel="00000000">
      <w:rPr>
        <w:rtl w:val="0"/>
      </w:rPr>
      <w:t xml:space="preserve">Izdrukāts 29.07.2026. 22.27 - 1.0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noteikumu_(grozījumu)_projekts_26-TA-528.docx</dc:title>
</cp:coreProperties>
</file>

<file path=docProps/custom.xml><?xml version="1.0" encoding="utf-8"?>
<Properties xmlns="http://schemas.openxmlformats.org/officeDocument/2006/custom-properties" xmlns:vt="http://schemas.openxmlformats.org/officeDocument/2006/docPropsVTypes"/>
</file>