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garantijām saimnieciskās darbības veicējiem konkurētspējas uzlabošanai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w:t>
      </w:r>
      <w:r>
        <w:br/>
      </w:r>
      <w:r w:rsidR="00000000" w:rsidRPr="00000000" w:rsidDel="00000000">
        <w:rPr>
          <w:rStyle w:val="paragraph"/>
          <w:i w:val="1"/>
          <w:rtl w:val="0"/>
        </w:rPr>
        <w:t xml:space="preserve">ceturto daļu, </w:t>
      </w:r>
      <w:r w:rsidR="00000000" w:rsidRPr="00000000" w:rsidDel="00000000">
        <w:rPr>
          <w:rStyle w:val="paragraph"/>
          <w:i w:val="1"/>
          <w:rtl w:val="0"/>
        </w:rPr>
        <w:t xml:space="preserve">Eiropas Savienības struktūrfondu un Kohēzijas fonda 2014.–2020. gada plānošanas perioda vadības likuma 20. panta</w:t>
      </w:r>
      <w:r w:rsidR="00000000" w:rsidRPr="00000000" w:rsidDel="00000000">
        <w:rPr>
          <w:rStyle w:val="paragraph"/>
          <w:i w:val="1"/>
          <w:rtl w:val="0"/>
        </w:rPr>
        <w:t xml:space="preserve"> 14. punktu un </w:t>
      </w:r>
      <w:r>
        <w:br/>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atbalsta piešķiršanas nosacījumus garantiju veidā, saimnieciskās darbības veicēju konkurētspējas uzlabošanai pieejamo finansējumu un kārtību, kādā īsteno šādus specifiskā atbalsta mērķa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programmas "Izaugsme un nodarbinātība" 3.1.1. specifiskā atbalsta mērķa "Sekmēt mazo un vidējo komersantu izveidi un attīstību, īpaši apstrādes rūpniecībā un RIS3 prioritārajās nozarēs" 3.1.1.1. pasākumu "Aizdevumu garantijas" (turpmāk – 3.1.1.1. pasākums) un 13.1.1. specifiskā atbalsta mērķa "Atveseļošanas pasākumi ekonomikas nozarē" 13.1.1.1. pasākumu "MVU izveide un attīstība" (turpmāk – 13.1.1.1.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kohēzijas politikas programmas 2021.–2027. gadam 1.2.2. specifiskā atbalsta mērķa "Izmantot digitalizācijas priekšrocības uzņēmējdarbības attīstībai" 1.2.2.2. pasākumu "Individuālās garantijas digitalizācijai un automatizācijai" (turpmāk – 1.2.2.2. pasākums) un 1.2.3. specifiskā atbalsta mērķa "Veicināt ilgtspējīgu izaugsmi, konkurētspēju un darba vietu radīšanu MVU, tostarp ar produktīvām investīcijām" 1.2.3.4. pasākumu "Garantijas, portfeļgarantijas pilna cikla uzņēmējdarbībai" (turpmāk – 1.2.3.4. pasākums) tiešo finanšu instrumentu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Garantijas saimnieciskās darbības veicējiem piešķir akciju sabiedrība "Attīstības finanšu institūcija Altum" (turpmāk – sabiedrība "Altum"), ievērojot šo noteikumu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atbalstu var saņemt saimnieciskās darbības veicēji,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Komisijas regula Nr. 651/2014), I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Komisijas regulas Nr. 651/2014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mazas vidējās kapitalizācijas un vidējās kapitalizācijas sabiedrības, kas atbilst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panta 6. un 7.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jaundibināts saimnieciskās darbības veicējs ir sīkais (mikro), mazais un vidējais saimnieciskās darbības veicējs – juridiska persona, kas ne agrāk kā trīs gadus pirms garantijas pieteikuma iesniegšanas ir reģistrēta attiecīgajā reģistrā un kurai nav kredītvēstures vai novērtējuma, kas pamatots ar komersanta vai saistīto personu bilanci.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Mazajiem vidējās kapitalizācijas un vidējās kapitalizācijas saimnieciskās darbības veicējiem ir pieejama garantija tikai 1.2.2.2. un 1.2.3.4. pasākuma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Garantijas sniedz kā </w:t>
      </w:r>
      <w:r w:rsidR="00000000" w:rsidRPr="00000000" w:rsidDel="00000000">
        <w:rPr>
          <w:i w:val="1"/>
          <w:rtl w:val="0"/>
        </w:rPr>
        <w:t xml:space="preserve">de minimis</w:t>
      </w:r>
      <w:r w:rsidR="00000000" w:rsidRPr="00000000" w:rsidDel="00000000">
        <w:rPr>
          <w:rtl w:val="0"/>
        </w:rPr>
        <w:t xml:space="preserve"> atbalstu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pasākumus nosaka saskaņā ar civiltiesiskajiem līgumiem, kas noslēgti starp sabiedrību "Altum" un kredītiestādi vai tās meitas sabiedrību, kura reģistrēta Latvijā un ir tiesīga sniegt finanšu pakalpojumus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pieejamais finansējums garantiju sniegšanai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pasākumam – Eiropas Reģionālās attīstības fonda (turpmāk – ERAF) finansējums 43 800 000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ar iespēju to mainīt (palielināt vai samazināt), nepārsniedzot kopējo 3.1.1. specifiskajam atbalsta mērķim pieejamo ERAF finansējumu saskaņā ar 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 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"Uzņēmējdarbība un inovācijas" 2.2.1.4.1. apakšaktivitātes "Atbalsts aizdevumu veidā komersantu konkurētspējas uzlabošanai" ietvaros atmaksātais publiskais finansējums – 7 700 000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3.1.3. aktivitātei "Apmācības un konsultācijas komercdarbības un pašnodarbinātības uzsācējiem" – 935 586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reizi atmaksātais finansējums darbības programmas "Cilvēkresursi un nodarbinātība" 1.3.1.2. aktivitātei "Atbalsts pašnodarbinātības un uzņēmējdarbības uzsākšanai" – 482 840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starta un mikroaizdevumu programmas atmaksātais finansējums – līdz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mazo un vidējo komersantu mikrokreditēšanas programmas atmaksu publiskais finansējums – 595 050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budžeta finansējums – 4 500 000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programmas "Uzņēmējdarbība un inovācijas"  2.2.1.4.2. apakšaktivitātē "Mezanīna aizdevumi un nodrošinājuma garantijas saimnieciskās darbības veicēju konkurētspējas uzlabošanai" atmaksātais publiskais finansējums – 1 300 000 e</w:t>
      </w:r>
      <w:r w:rsidR="00000000" w:rsidRPr="00000000" w:rsidDel="00000000">
        <w:rPr>
          <w:i w:val="1"/>
          <w:rtl w:val="0"/>
        </w:rPr>
        <w:t xml:space="preserv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13.1.1.1. pasākumam – ERAF finansējums 7 459 282 </w:t>
      </w:r>
      <w:r w:rsidR="00000000" w:rsidRPr="00000000" w:rsidDel="00000000">
        <w:rPr>
          <w:i w:val="1"/>
          <w:rtl w:val="0"/>
        </w:rPr>
        <w:t xml:space="preserve">euro</w:t>
      </w:r>
      <w:r w:rsidR="00000000" w:rsidRPr="00000000" w:rsidDel="00000000">
        <w:rPr>
          <w:rtl w:val="0"/>
        </w:rPr>
        <w:t xml:space="preserve"> apmērā un valsts budžeta finansējums 1 540 719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ar iespēju to mainīt (palielināt vai samazināt), nepārsniedzot kopējo 13.1.1. specifiskajam atbalsta mērķim pieejamo ERAF finansējumu saskaņā ar 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 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1.2.3.4. un 1.2.2.2. pasākumam – finansējums, ko sabiedrība "Altum" izsniedz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 kas grozīta ar MK 07.03.2023.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minēto finansējumu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saimnieciskās darbības veicēju skaits, kuri saņem finansiālu atbalstu, kas nav granti, – 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privātais finansējums, kas piesaistīts publiskajam finansējumam, –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 kas grozīta ar MK 07.03.2023. noteikumiem Nr. 109)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finanšu pakalpojumi un garantijas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Garantijas piešķir par šādiem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aizdevums investīciju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aizdevums apgrozāmo līdzekļu finansēšanai, tai skaitā kredītlimiti (kredītlīnijas un overdrafti);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līzings, finanšu līzinga limiti;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faktorings, kurā klients (saimnieciskās darbības veicējs) saskaņā ar noslēgto faktoringa līgumu atbild faktoram (kredītiestāde vai tās meitas sabiedrība) par nodotā vai nododamā prasījuma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banku garantijas (konkursa, avansa maksājuma, maksājuma izpildes vai laika garantijas), banku garantiju limiti, kredītvēstule.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Garantijas par 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minēto finanšu pakalpojumu netiek sniegtas 1.2.3.4. un 1.2.2.2. pasākumā.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piešķir tikai par jauniem finanšu pakalpojumiem,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kredītiestāde pagarina darbības termiņu iepriekš noslēgtiem šo noteikumu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w:t>
      </w:r>
      <w:r w:rsidR="00000000" w:rsidRPr="00000000" w:rsidDel="00000000">
        <w:rPr>
          <w:rtl w:val="0"/>
        </w:rPr>
        <w:t xml:space="preserve"> apakšpunktā minētajiem finanšu pakalpojumu līgumiem un sabiedrība "Altum" garantiju piešķir jaunām saistībām, kas rodas pēc grozījumiem finanšu pakalpojumu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refinansēts sabiedrības "Altum" aizdevums, ievērojot visas piemērojamās komercdarbības atbalsta regulējuma normas. Aizdevuma refinansēšanai izmanto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finansējuma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punkta</w:t>
      </w:r>
      <w:r w:rsidR="00000000" w:rsidRPr="00000000" w:rsidDel="00000000">
        <w:rPr>
          <w:rtl w:val="0"/>
        </w:rPr>
        <w:t xml:space="preserve"> nosacījumus nepiemēro, ja tiek pagarināts sabiedrības "Altum" iepriekš garantēto finanšu pakalpojumu līguma darbības termiņš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minētajiem finanšu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Garantiju piešķir, ja saimnieciskā darbība ir ekonomiski dzīvotspējīga, tai skaitā izvērtējot saimnieciskās darbības veicēja biznesa idejas potenciālu un ilgtspēju, projekta īstenošanai nepieciešamo līdzfinansējumu un likviditāti, saimnieciskās darbības veicēja esošo un nākotnes finanšu situāciju, zināšanu un pieredzes atbilstību, kā arī analizējot identificētos uzņēmējdarbības riskus un citus faktorus saimnieciskās darbības veicēja aizdevuma kvalitātes noteikšanai. Piešķirot garantiju, tiek sniegts </w:t>
      </w:r>
      <w:r w:rsidR="00000000" w:rsidRPr="00000000" w:rsidDel="00000000">
        <w:rPr>
          <w:i w:val="1"/>
          <w:rtl w:val="0"/>
        </w:rPr>
        <w:t xml:space="preserve">de minimis</w:t>
      </w:r>
      <w:r w:rsidR="00000000" w:rsidRPr="00000000" w:rsidDel="00000000">
        <w:rPr>
          <w:rtl w:val="0"/>
        </w:rPr>
        <w:t xml:space="preserve"> atbalsts saskaņā ar šo noteikumu IV nodaļu.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Garantija sedz līdz 80 % no finanšu pakalpojuma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Vienam sīkajam (mikro), mazajam un vidējam saimnieciskās darbības veicējam un ar to saistīto personu grupai (atbilstoši Komisijas regulas Nr. </w:t>
      </w:r>
      <w:r w:rsidR="00000000" w:rsidRPr="00000000" w:rsidDel="00000000">
        <w:rPr>
          <w:rtl w:val="0"/>
        </w:rPr>
        <w:t xml:space="preserve">1407/2013</w:t>
      </w:r>
      <w:r w:rsidR="00000000" w:rsidRPr="00000000" w:rsidDel="00000000">
        <w:rPr>
          <w:rtl w:val="0"/>
        </w:rPr>
        <w:t xml:space="preserve"> 2. panta 2. punkta definīcijai) garantijas summa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bruto subsīdijas ekvivalents tiek aprēķināts saskaņā ar Komisijas regulas Nr. </w:t>
      </w:r>
      <w:r w:rsidR="00000000" w:rsidRPr="00000000" w:rsidDel="00000000">
        <w:rPr>
          <w:rtl w:val="0"/>
        </w:rPr>
        <w:t xml:space="preserve">1407/2013</w:t>
      </w:r>
      <w:r w:rsidR="00000000" w:rsidRPr="00000000" w:rsidDel="00000000">
        <w:rPr>
          <w:rtl w:val="0"/>
        </w:rPr>
        <w:t xml:space="preserve"> 4. panta 6. punkta "c" apakšpunktu, – 5 000 000 </w:t>
      </w:r>
      <w:r w:rsidR="00000000" w:rsidRPr="00000000" w:rsidDel="00000000">
        <w:rPr>
          <w:i w:val="1"/>
          <w:rtl w:val="0"/>
        </w:rPr>
        <w:t xml:space="preserve">euro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vai 7 000 000 </w:t>
      </w:r>
      <w:r w:rsidR="00000000" w:rsidRPr="00000000" w:rsidDel="00000000">
        <w:rPr>
          <w:i w:val="1"/>
          <w:rtl w:val="0"/>
        </w:rPr>
        <w:t xml:space="preserve">euro</w:t>
      </w:r>
      <w:r w:rsidR="00000000" w:rsidRPr="00000000" w:rsidDel="00000000">
        <w:rPr>
          <w:rtl w:val="0"/>
        </w:rPr>
        <w:t xml:space="preserve">, ja garantija tiek sniegta 1.2.2.2. pasākuma ietvaros un garantijas sākotnējais termiņš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bruto subsīdijas ekvivalents tiek aprēķināts saskaņā ar Komisijas regulas Nr. 1407/2013 4. panta 6. punkta "b"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(vai 750 000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piecus gadus;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(vai 375 000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Lielajam saimnieciskās darbības veicējam piemēro šo noteikumu 12.2.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Iepriekš izsniegtas garantijas termiņu var pagarināt, kopējam garantijas termiņam nepārsniedzot 15 gadus, ja subsīdijas ekvivalents tiek aprēķināts saskaņā ar Komisijas regulas Nr. 1407/2013 4. panta 6. punkta "c" apakšpunktu un ja kredītiestāde ir iesniegusi sabiedrībā "Altum" garantijas pieteikumu termiņa pagarinājumam un saimnieciskās darbības veicēja aizpildītu apliecinājumu kredīta garantijai (sabiedrības "Altum" veidlapa), kā arī sabiedrība "Altum" ir izvērtējusi saimnieciskās darbības veicēja finansiālo stāvokli un nodrošinājuma pietiekamību.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Lielie saimnieciskās darbības veicēji atbalstu var saņemt, ja garantijas kredīta kvalitāte nav mazāka par šo noteikumu pielikumā minēto kredīta kvalitātes klasi "Maksātspēju varētu mazināt nelabvēlīgi apstākļi" atbilstoši Komisijas regulas Nr.  </w:t>
      </w:r>
      <w:r w:rsidR="00000000" w:rsidRPr="00000000" w:rsidDel="00000000">
        <w:rPr>
          <w:rtl w:val="0"/>
        </w:rPr>
        <w:t xml:space="preserve">1407/2013</w:t>
      </w:r>
      <w:r w:rsidR="00000000" w:rsidRPr="00000000" w:rsidDel="00000000">
        <w:rPr>
          <w:rtl w:val="0"/>
        </w:rPr>
        <w:t xml:space="preserve"> 4. panta 6.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 šādām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1407/2013 1. panta pirmās daļas "a", "b", "c", "d" un "e" apakšpunktā noteiktajām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(NACE 2.redakcijas grupa 47.78 "Citur neklasificēta jaunu preču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darbībai (NACE 2. redakcijas K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 redakcijas L sadaļas "Operācijas ar nekustamo īpašumu" grupa 68.1 "Sava nekustama īpašuma pirkšana un pārdošana" un grupa 68.31 "Starpniecība darbībā ar nekustamo īpašumu"), izņemot 68.1 grupu "Sava nekustama īpašuma pirkšana un pārdošana", ja saimnieciskās darbības veicējs nekustamo īpašumu (būvi), kura galvenais lietošanas veids atbilstoši normatīvajam regulējumam par būvju klasifikāciju ir triju vai vairāku dzīvokļu māja, būvē, atjauno vai pārbūvē ārpus Jūrmalas valstspilsētas, Rīgas valstspilsētas un Rīgas valstspilsētai piegulošo novadu (Mārupes novads, Olaines novads, Ķekavas novads, Salaspils novads, Ropažu novads, Ādažu novads) administratīvās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21.06.2022. noteikumiem Nr. 365)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kravas autotransporta līdzekļu iegādei saimnieciskās darbības veicējiem, kas veic komercpārvadājumus ar autotransportu (NACE 2. redakcijas H sadaļa "Transports un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kapitālsabiedrību kapitāla daļu iegādei, izņemot gadījumus, ja šīs darbības rezultātā tiek nodrošināta saimnieciskās darbības veicēja attīstība vai darbības paplašināšana;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projektiem, kas ir fiziski pabeigti vai pilnībā īstenoti, izņemot gadījumu, ja tiek pagarināts sabiedrības "Altum" iepriekš izsniegtās garantijas termiņš vai refinansēts sabiedrības "Altum" aizdevums, ievērojot visas piemērojamās komercdarbības atbalsta regulējuma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21.06.2022. noteikumiem Nr. 365)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16. </w:t>
      </w:r>
      <w:r w:rsidR="00000000" w:rsidRPr="00000000" w:rsidDel="00000000">
        <w:rPr>
          <w:rtl w:val="0"/>
        </w:rPr>
        <w:t xml:space="preserve">punkta</w:t>
      </w:r>
      <w:r w:rsidR="00000000" w:rsidRPr="00000000" w:rsidDel="00000000">
        <w:rPr>
          <w:rtl w:val="0"/>
        </w:rPr>
        <w:t xml:space="preserve"> nosacījumiem 1.2.3.4. un 1.2.2.2. pasākuma ietvaros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nozarēs,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iegādei, ja summa pārsniedz 10 % no garantētās finanšu pakalpojuma summas vai attiecībā uz pamestām teritorijām un bijušajām rūpniecības teritorijām, kurās ir ēkas, līdz 15 % no garantētās finanšu pakalpojuma summas saskaņā ar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64. panta 1. punkta "b"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2021/1060 58. panta 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atbalsta programmas finansējuma saņemšanai, ievērojot regulas Nr. 2021/1060 63. panta 6.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2021/1060 64. panta 1. punkta "a"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3.1.1.1. pasākuma īstenošanā papildus šo noteikumu 16. punkta nosacījumiem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projektu līdzfinansēšanai, tai skaitā avansa maksājumiem;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1301/2013 par Eiropas Reģionālās attīstības fondu un īpašiem noteikumiem attiecībā uz mērķi "Investīcijas izaugsmei un nodarbinātībai" un ar ko atceļ Regulu (EK) Nr. 1080/2006, 3. panta 3. punktā minētajām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neapbūvētas vai apbūvētas zemes iegādei, ja pirkumam tiek novirzīts vairāk nekā 10 % no finanšu pakalpojuma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Saimnieciskās darbības veicējam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tam ar tiesas spriedumu ir pasludināts maksātnespējas process, ir ierosināts vai tiek īstenots tiesiskās aizsardzības process vai ja saimnieciskās darbības veicējs ir iesniedzis apliecinājumu, ka tas atbilst normatīvajos aktos noteiktajiem kritērijiem, uz kuriem pamatojoties kreditors var pieprasīt maksātnespējas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 izņemot gadījumu, ja tam ir piešķirts nodokļu maksājuma samaksas termiņa pagarinājums vai Valsts ieņēmumu dienests ir pieņēmis lēmumu par nokavēto nodokļu maksājumu labprātīgu izpildi, vai ir noslēgts vienošanās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Garantijas prēmijas un subsīdijas ekvivalenta aprēķināšana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Garantijas prēmiju sabiedrība "Altum" aprēķina, piemērojot gada prēmijas likmes atbilstoši saimnieciskās darbības veicēja kredīta kvalitātei un nodrošinājuma līmenim, kas noteikts saskaņā ar sabiedrības "Altum" kredīta kvalitātes novērtēšanas sistēmu. Piemērojamās garantijas gada prēmijas likmes ir publicētas sabiedrības "Altum"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veicējiem, kuru darbības nozare ir NACE 2. redakcijas grupa "Ceļojumu biroju, tūrisma operatoru un citi rezervēšanas pakalpojumi un ar tiem saistītas darbības", garantijas prēmiju, kas aprēķināta saskaņā ar šo noteikumu </w:t>
      </w:r>
      <w:r w:rsidR="00000000" w:rsidRPr="00000000" w:rsidDel="00000000">
        <w:rPr>
          <w:rtl w:val="0"/>
        </w:rPr>
        <w:t xml:space="preserve">19.</w:t>
      </w:r>
      <w:r w:rsidR="00000000" w:rsidRPr="00000000" w:rsidDel="00000000">
        <w:rPr>
          <w:rtl w:val="0"/>
        </w:rPr>
        <w:t xml:space="preserve"> punktu</w:t>
      </w:r>
      <w:r w:rsidR="00000000" w:rsidRPr="00000000" w:rsidDel="00000000">
        <w:rPr>
          <w:rtl w:val="0"/>
        </w:rPr>
        <w:t xml:space="preserve"> un paredzēta šo noteikumu </w:t>
      </w:r>
      <w:r w:rsidR="00000000" w:rsidRPr="00000000" w:rsidDel="00000000">
        <w:rPr>
          <w:rtl w:val="0"/>
        </w:rPr>
        <w:t xml:space="preserve">8.5.</w:t>
      </w:r>
      <w:r w:rsidR="00000000" w:rsidRPr="00000000" w:rsidDel="00000000">
        <w:rPr>
          <w:rtl w:val="0"/>
        </w:rPr>
        <w:t xml:space="preserve"> apakšpunktā</w:t>
      </w:r>
      <w:r w:rsidR="00000000" w:rsidRPr="00000000" w:rsidDel="00000000">
        <w:rPr>
          <w:rtl w:val="0"/>
        </w:rPr>
        <w:t xml:space="preserve"> minēto finanšu pakalpojumu garantēšanai, var samazināt, bet ne vairāk kā 90 %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 punkts stājas spēkā 23.03.2023., sk. </w:t>
      </w:r>
      <w:r w:rsidR="00000000" w:rsidRPr="00000000" w:rsidDel="00000000">
        <w:rPr>
          <w:rStyle w:val="paragraph"/>
          <w:i w:val="1"/>
          <w:rtl w:val="0"/>
        </w:rPr>
        <w:t xml:space="preserve">42.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Subsīdijas ekvivalentu sīkajam (mikro), mazajam un vidējam saimnieciskās darbības veicējam aprēķina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vai piemērojot Komisijas regulas Nr. 1407/2013 4. panta 6. punkta "b" apakšpunkta nosacījumus. Ja garantijas ilgums pārsniedz gadu, starpība starp likmēm tiek diskontēta, izmantojot atsauces likmi, kas aprēķināma saskaņā ar Eiropas Komisijas Latvijai apstiprināto atsauces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Subsīdijas ekvivalentu lielajam saimnieciskās darbības veicējam un mazai vidējās kapitalizācijas un vidējās kapitalizācijas sabiedrībai aprēķina, piemērojot Komisijas regulas Nr. </w:t>
      </w:r>
      <w:r w:rsidR="00000000" w:rsidRPr="00000000" w:rsidDel="00000000">
        <w:rPr>
          <w:rtl w:val="0"/>
        </w:rPr>
        <w:t xml:space="preserve">1407/2013</w:t>
      </w:r>
      <w:r w:rsidR="00000000" w:rsidRPr="00000000" w:rsidDel="00000000">
        <w:rPr>
          <w:rtl w:val="0"/>
        </w:rPr>
        <w:t xml:space="preserve"> 4. panta 6. punkta "b" apakšpunkta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atbalsts saimnieciskās darbības veicējam tiek piešķirts ar dienu, kad pieņemts lēmums par </w:t>
      </w:r>
      <w:r w:rsidR="00000000" w:rsidRPr="00000000" w:rsidDel="00000000">
        <w:rPr>
          <w:i w:val="1"/>
          <w:rtl w:val="0"/>
        </w:rPr>
        <w:t xml:space="preserve">de minimis</w:t>
      </w:r>
      <w:r w:rsidR="00000000" w:rsidRPr="00000000" w:rsidDel="00000000">
        <w:rPr>
          <w:rtl w:val="0"/>
        </w:rPr>
        <w:t xml:space="preserve">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Piesakoties atbalstam, saimnieciskās darbības veicējs 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uzskaites veidlapu paraugiem.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1407/2013</w:t>
      </w:r>
      <w:r w:rsidR="00000000" w:rsidRPr="00000000" w:rsidDel="00000000">
        <w:rPr>
          <w:rtl w:val="0"/>
        </w:rPr>
        <w:t xml:space="preserve"> 2. panta 2. punktā noteiktajam vienam vienotam uzņēmumam izsniegtā </w:t>
      </w:r>
      <w:r w:rsidR="00000000" w:rsidRPr="00000000" w:rsidDel="00000000">
        <w:rPr>
          <w:i w:val="1"/>
          <w:rtl w:val="0"/>
        </w:rPr>
        <w:t xml:space="preserve">de minimis</w:t>
      </w:r>
      <w:r w:rsidR="00000000" w:rsidRPr="00000000" w:rsidDel="00000000">
        <w:rPr>
          <w:rtl w:val="0"/>
        </w:rPr>
        <w:t xml:space="preserve"> atbalsta kopējā summa nedrīkst pārsniegt Komisijas regulas Nr.  </w:t>
      </w:r>
      <w:r w:rsidR="00000000" w:rsidRPr="00000000" w:rsidDel="00000000">
        <w:rPr>
          <w:rtl w:val="0"/>
        </w:rPr>
        <w:t xml:space="preserve">1407/2013</w:t>
      </w:r>
      <w:r w:rsidR="00000000" w:rsidRPr="00000000" w:rsidDel="00000000">
        <w:rPr>
          <w:rtl w:val="0"/>
        </w:rPr>
        <w:t xml:space="preserve"> 3. panta 2. punktā noteiktos ierobežojumus.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saimnieciskās darbības veicējs vienlaikus darbojas vienā vai vairākās nozarēs vai veic citas darbības, kas neietilpst Komisijas regulas Nr.  </w:t>
      </w:r>
      <w:r w:rsidR="00000000" w:rsidRPr="00000000" w:rsidDel="00000000">
        <w:rPr>
          <w:rtl w:val="0"/>
        </w:rPr>
        <w:t xml:space="preserve">1407/2013</w:t>
      </w:r>
      <w:r w:rsidR="00000000" w:rsidRPr="00000000" w:rsidDel="00000000">
        <w:rPr>
          <w:rtl w:val="0"/>
        </w:rPr>
        <w:t xml:space="preserve"> darbības jomā, tas nodrošina šo nozaru darbību vai izmaksu nodalīšanu saskaņā ar Komisijas regulas Nr.  </w:t>
      </w:r>
      <w:r w:rsidR="00000000" w:rsidRPr="00000000" w:rsidDel="00000000">
        <w:rPr>
          <w:rtl w:val="0"/>
        </w:rPr>
        <w:t xml:space="preserve">1407/2013</w:t>
      </w:r>
      <w:r w:rsidR="00000000" w:rsidRPr="00000000" w:rsidDel="00000000">
        <w:rPr>
          <w:rtl w:val="0"/>
        </w:rPr>
        <w:t xml:space="preserve"> 1. panta 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24. punktā minētais nosacījums, veicot atbalsta uzskaiti, ņem vērā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veicēji ir apvienoti, ņem vērā visu katram apvienotajam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Sabiedrība "Altum" un atbalsta saņēmējs ievēro Komisijas regulas Nr. 1407/2013 6. panta 4. punktā minētos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ir pārkāptas Komisijas regulas Nr. </w:t>
      </w:r>
      <w:r w:rsidR="00000000" w:rsidRPr="00000000" w:rsidDel="00000000">
        <w:rPr>
          <w:rtl w:val="0"/>
        </w:rPr>
        <w:t xml:space="preserve">1407/2013</w:t>
      </w:r>
      <w:r w:rsidR="00000000" w:rsidRPr="00000000" w:rsidDel="00000000">
        <w:rPr>
          <w:rtl w:val="0"/>
        </w:rPr>
        <w:t xml:space="preserve"> prasības, atbalsta saņēmējam ir pienākums atmaksāt sabiedrībai "Altum"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šo noteikumu ietvaros drīkst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atbalsta apvienošanas attiecīgā maksimālā atbalsta intensitāte izmaksu pozīcijai nepārsniedz 100 % no izmaksu pozīcijas vērtības.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1407/2013</w:t>
      </w:r>
      <w:r w:rsidR="00000000" w:rsidRPr="00000000" w:rsidDel="00000000">
        <w:rPr>
          <w:rtl w:val="0"/>
        </w:rPr>
        <w:t xml:space="preserve"> 5. pantā minētos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robežlielumam, kā arī drīkst apvienot ar citu valsts atbalstu attiecībā uz vienām un tām pašām attiecināmajām izmaksām vai citu valsts atbalstu tam pašam riska finansējuma pasākumam, ja pēc šīs apvienošanas netiek pārsniegta attiecīgā maksimālā atbalsta intensitāte vai atbalsta summa, kāda noteikta valsts atbalsta programmā, atbalsta projektā vai Eiropas Komisijas lēmumā. Šādā gadījumā saimnieciskās darbības veicējs iesniedz sabiedrībai "Altum" visu informāciju par plānoto un piešķirto atbalstu par tām pašām attiecināmajām izmaksām, norādot atbalsta piešķiršanas datumu, atbalsta sniedzēja nosaukumu, atbalsta pasākumu, plānoto vai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kas piešķirts šo noteikumu ietvaros, nedrīkst apvienot ar citu atbalstu, kuru sniedz saskaņā ar Eiropas Komisijas lēmumiem par valsts atbalsta pasākumiem, kas pieņemti atbilstoši Eiropas Komisijas 2020. gada 19. marta paziņojuma "Pagaidu regulējums valsts atbalsta pasākumiem, ar ko atbalsta ekonomiku pašreizējā Covid-19 uzliesmojuma situācijā" (C(2020)1863) 3.2. un 3.3. iedaļai, un ar atbalstu, kuru sniedz atbalsta programmas ietvaros Covid-19 krīzes skartajiem uzņēmumiem apgrozāmo līdzekļu plūsmas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kas piešķirts 1.2.2.2. pasākuma ietvaros, nedrīkst apvienot ar citu atbalstu par tām pašām izmaksām, kas piešķirts 1.2.3.4. pasākuma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Pārvaldības izdevumi un riska segums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Sabiedrībai "Altum" ir pieejams finansējums pārvaldības izdevumu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 atbilstības periodā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Komisijas regula Nr. 480/2014), 13. panta 2. un 3.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3.1.1.1. pasākuma īstenošanas laikā atmaksātais publiskais finansējums 3.1.1.1. pasākuma pārvaldības izdevumu segšanai, tai skaitā kapitāla atdeves segšanai, ievērojot atbilstoši </w:t>
      </w:r>
      <w:r w:rsidR="00000000" w:rsidRPr="00000000" w:rsidDel="00000000">
        <w:rPr>
          <w:rtl w:val="0"/>
        </w:rPr>
        <w:t xml:space="preserve">Attīstības finanšu institūcijas likumam</w:t>
      </w:r>
      <w:r w:rsidR="00000000" w:rsidRPr="00000000" w:rsidDel="00000000">
        <w:rPr>
          <w:rtl w:val="0"/>
        </w:rPr>
        <w:t xml:space="preserve"> izstrādāto programmu novērtējumu.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1.2.2.2. un 1.2.3.4. pasākuma ietvaros sabiedrības "Altum" pārvaldības izmaksas nosaka atbilstoši normatīvajam aktam,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109)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Pārvaldības izdevumu daļai, kura tiek aprēķināta, pamatojoties uz snieguma rezultātiem, piemēro 2 % samazinājumu, ja 2023. gada 31. decembrī Eiropas Reģionālās attīstības fonda finansējuma apguve šo noteikumu ietvaros ir mazāka par 80 % un atbalstīto saimnieciskās darbības veicēju skaits 3.1.1.1. pasākuma ietvaros ir mazāks nekā 501.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Pārvaldības izdevumi par garantijām, kuras izsniegtas saskaņā ar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apakšpunktu, tiek iekļauti klientu maksājumos, t. i., prēmijās un komisijas maksās.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Sabiedrības "Altum" 3.1.1.1. pasākumā sagaidāmie zaudējumi, kas noteikti saskaņā ar </w:t>
      </w:r>
      <w:r w:rsidR="00000000" w:rsidRPr="00000000" w:rsidDel="00000000">
        <w:rPr>
          <w:rtl w:val="0"/>
        </w:rPr>
        <w:t xml:space="preserve">Attīstības finanšu institūcijas likuma</w:t>
      </w:r>
      <w:r w:rsidR="00000000" w:rsidRPr="00000000" w:rsidDel="00000000">
        <w:rPr>
          <w:rtl w:val="0"/>
        </w:rPr>
        <w:t xml:space="preserve"> 12. panta trešo daļu, tiek finansēti no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 finansējuma, bet sagaidāmie zaudējumi par pārējām saimnieciskās darbības veicēju garantijām – no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Sabiedrības "Altum" kapitāla atdeves segšanai no 2019. gada izmanto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minēto atmaksāto finansējumu vidēji 10 % apmērā gadā visā programmas īstenošanas laikā no sabiedrības "Altum" kapitāla, kas paredzēts šajos noteikumos minēto finanšu instrumentu kredītrisku, operacionālo risku un citu risku segšanai, ievērojot atbilstoši </w:t>
      </w:r>
      <w:r w:rsidR="00000000" w:rsidRPr="00000000" w:rsidDel="00000000">
        <w:rPr>
          <w:rtl w:val="0"/>
        </w:rPr>
        <w:t xml:space="preserve">Attīstības finanšu institūcijas likumam</w:t>
      </w:r>
      <w:r w:rsidR="00000000" w:rsidRPr="00000000" w:rsidDel="00000000">
        <w:rPr>
          <w:rtl w:val="0"/>
        </w:rPr>
        <w:t xml:space="preserve"> izstrādāto programmu novērtējumu.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Atzīt par spēku zaudējušiem Ministru kabineta 2010. gada 26. oktobra noteikumus Nr. 997 "Noteikumi par garantijām komersantu un atbilstošu lauksaimniecības pakalpojumu kooperatīvo sabiedrību konkurētspējas uzlabošanai" (Latvijas Vēstnesis, 2010, 177. nr.; 2013, 102., 252. nr.; 2014, 146., 184. nr.; 2015, 109. nr.; 2016, 9., 108. nr.; 2017, 36. nr.; 2018, 90. nr.; 2019, 79.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pagarinātu garantijas, kas izsniegtas saskaņā ar Ministru kabineta 2009. gada 24. marta noteikumiem Nr. 269 "Noteikumi par garantijām komersantu un atbilstošu lauksaimniecības pakalpojumu kooperatīvo sabiedrību konkurētspējas uzlabošanai" vai Ministru kabineta 2010. gada 26. oktobra noteikumiem Nr. 997 "Noteikumi par garantijām komersantu un atbilstošu lauksaimniecības pakalpojumu kooperatīvo sabiedrību konkurētspējas uzlabošanai", piemēro šos noteikumus, ievērojot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Garantijām, kas izsniegtas darbības programmas "Izaugsme un nodarbinātība" 4.2.1. specifiskā atbalsta mērķa "Veicināt energoefektivitātes paaugstināšanu valsts un dzīvojamās ēkās" 4.2.1.1. pasākuma "Veicināt energoefektivitātes paaugstināšanu dzīvojamās ēkās" ietvaros, piemēro Ministru kabineta 2016. gada 15. marta noteikumus Nr. 160 "Darbības programmas "Izaugsme un nodarbinātība" 4.2.1. specifiskā atbalsta mērķa "Veicināt energoefektivitātes paaugstināšanu valsts un dzīvojamās ēkās" 4.2.1.1. specifiskā atbalsta mērķa pasākuma "Veicināt energoefektivitātes paaugstināšanu dzīvojamās ēkās" īstenošanas noteikumi".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atbilstoši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var pieņemt līdz Komisijas regulas Nr. 1407/2013 7. panta 4. punktā un 8. pantā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17.12.2020. noteikumiem Nr. 827)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ar dienu, kad Eiropas Savienības fondu uzraudzības komiteja saskaņā ar Eiropas Parlamenta un Padomes 2013. gada 17. decembra Regulas (ES) Nr. </w:t>
      </w:r>
      <w:r w:rsidR="00000000" w:rsidRPr="00000000" w:rsidDel="00000000">
        <w:rPr>
          <w:rtl w:val="0"/>
        </w:rPr>
        <w:t xml:space="preserve"> 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37. panta 3. punkta trešo daļu ir saskaņojusi tirgus nepilnību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punkts stājas spēkā 23.03.2023., sk. </w:t>
      </w:r>
      <w:r w:rsidR="00000000" w:rsidRPr="00000000" w:rsidDel="00000000">
        <w:rPr>
          <w:rStyle w:val="paragraph"/>
          <w:i w:val="1"/>
          <w:rtl w:val="0"/>
        </w:rPr>
        <w:t xml:space="preserve">paziņojumu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Ekonomikas ministrija pēc tam, kad Eiropas Savienības fondu uzraudzības komiteja ir saskaņojusi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tirgus nepilnību izvērtējumu, nosūta attiecīgu paziņojumu publicēšanai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Garantijas 1.2.2.2. un 1.2.3.4. pasākumam piešķir, kad finansējums 3.1.1.1. un 13.1.1.1. pasākumam komersantiem ir piešķirts pilnā apmērā vai jaunas garantijas nevar piešķirt atbilstoši 3.1.1.1. un 13.1.1.1. pasākuma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23-TA-1073</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23-TA-1073</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noteikumu_konsolidētā_versija_23-TA-1073.docx</dc:title>
</cp:coreProperties>
</file>

<file path=docProps/custom.xml><?xml version="1.0" encoding="utf-8"?>
<Properties xmlns="http://schemas.openxmlformats.org/officeDocument/2006/custom-properties" xmlns:vt="http://schemas.openxmlformats.org/officeDocument/2006/docPropsVTypes"/>
</file>