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Augļi un dārzeņi, par kuriem piešķir atbalstu saskaņā ar Komisijas 2017. gada 20. aprīļa Deleģētās regulas (ES)  </w:t>
      </w:r>
      <w:r w:rsidR="00000000" w:rsidRPr="00000000" w:rsidDel="00000000">
        <w:rPr>
          <w:rStyle w:val="paragraph_header"/>
          <w:b w:val="1"/>
          <w:rtl w:val="0"/>
        </w:rPr>
        <w:t xml:space="preserve">2017/1165</w:t>
      </w:r>
      <w:r w:rsidR="00000000" w:rsidRPr="00000000" w:rsidDel="00000000">
        <w:rPr>
          <w:rStyle w:val="paragraph_header"/>
          <w:b w:val="1"/>
          <w:rtl w:val="0"/>
        </w:rPr>
        <w:t xml:space="preserve">, ar ko nosaka pagaidu ārkārtas atbalsta pasākumus konkrētu augļu ražotājiem, 1. pantu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31.03.2020. noteikumiem Nr. 175)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