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novembrī (prot. Nr. 48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Krievijas Federācijas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Krievijas Federācijas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"Magonītes" (nekustamā īpašuma kadastra Nr. 6894 006 0009) daļu – zemes vienību (zemes vienības kadastra apzīmējums 6894 008 0220) 0,1394 ha platībā – Salnavas pagastā, Ludzas novadā, par 790,74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"Robežnieki" (nekustamā īpašuma kadastra Nr. 3898 001 0080) daļu – zemes vienību (zemes vienības kadastra apzīmējums 3898 001 0200) 0,1787 ha platībā – Žīguru pagastā, Balvu novadā, par 1019,51</w:t>
      </w:r>
      <w:r w:rsidR="00000000" w:rsidRPr="00000000" w:rsidDel="00000000">
        <w:rPr>
          <w:i w:val="1"/>
          <w:rtl w:val="0"/>
        </w:rPr>
        <w:t xml:space="preserve"> 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25-TA-2043</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25-TA-2043</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rīkojuma_projekts_25-TA-2043.docx</dc:title>
</cp:coreProperties>
</file>

<file path=docProps/custom.xml><?xml version="1.0" encoding="utf-8"?>
<Properties xmlns="http://schemas.openxmlformats.org/officeDocument/2006/custom-properties" xmlns:vt="http://schemas.openxmlformats.org/officeDocument/2006/docPropsVTypes"/>
</file>