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213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 aprīlī (prot. Nr. 13 38.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"Mākslīgo mitrāju izveide"</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lauku attīstībai atklāta projektu iesniegumu konkursa veidā Eiropas Lauksaimniecības fonda lauku attīstībai neienesīgo investīciju īstenošanai intervencē "Mākslīgo mitrāju izveide" (intervences kods – LA4.5.).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sniedz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 decembra Regulu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Eiropas Savienības atbalstu neienesīgo investīciju intervencē "Mākslīgo mitrāju izveide" piešķir saskaņā ar regulas </w:t>
      </w:r>
      <w:r w:rsidR="00000000" w:rsidRPr="00000000" w:rsidDel="00000000">
        <w:rPr>
          <w:rtl w:val="0"/>
        </w:rPr>
        <w:t xml:space="preserve">2021/2115</w:t>
      </w:r>
      <w:r w:rsidR="00000000" w:rsidRPr="00000000" w:rsidDel="00000000">
        <w:rPr>
          <w:rtl w:val="0"/>
        </w:rPr>
        <w:t xml:space="preserve"> 6. panta 1. punkta "e" un "f" apakšpunktu, 73. panta 2. punktu un 4. punkta "c" apakšpunkta "i"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un publisko finansējumu pieprasa un saņem saskaņā ar normatīvajiem  aktiem par valsts un Eiropas Savienības atbalsta piešķiršanas, administrēšanas un uzraudzības vispārējo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ir trīs gadi no dienas, kad pieņemts lēmums par atbalsta piešķiršanu, bet ne ilgāk kā līdz 2029.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minētajā intervencē sniegtais atbalsts par vienām un tām pašām attiecināmajām izmaksām nepārklājas ar atbalstu no citām līdzīgām intervencēm, un neiestājas dubultā finansējuma risks.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īstenošanas mērķis ir izbūvēt zaļo infrastruktūru, lai izveidotu mākslīgos mitrājus ūdens piesārņojuma piesaistīšanai ar virszemes, pazemes vai kombinētu ūdens plūsmu, tā uzlabojot bioloģisko daudzveidību un atjaunojot ekosistēmas.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īstenošanas vieta ir Latvijas teritorija.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atbalstu nepiešķir mākslīgo mitrāju izbūvei: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dabiskās ūdenstecēs;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Natura 2000</w:t>
      </w:r>
      <w:r w:rsidR="00000000" w:rsidRPr="00000000" w:rsidDel="00000000">
        <w:rPr>
          <w:rtl w:val="0"/>
        </w:rPr>
        <w:t xml:space="preserve"> teritorijās, īpaši aizsargājamo dabas teritoriju stingrā režīma zonā, dabas lieguma zonā un dabas parka zonā, ja vien nav paredzēts pārbūvēt vai atjaunot meliorācijas sistēmas vai mitrāja izveide nav paredzēta īpaši aizsargājamās dabas teritorijas dabas aizsardzības plānā vai pieļauta īpaši aizsargājamās dabas teritorijas aizsardzību un izmantošanu regulējošajos normatīvajos aktos, ne arī mikroliegumos vai bioloģiski vērtīgajos zālājos, ja vien mitrāja izveide nav nepieciešama dabas vērtību saglabāšanai, par ko ir saņemts saskaņojums no Dabas aizsardzības pārvaldes.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atbalstu nepiešķir meliorācijas sistēmas pārbūvei, atjaunošanai vai izbūvei.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atbalstu piešķir mākslīgā mitrāja izbūvei, lai to iekļautu mitrājus apkalpojošā meliorācijas sistēmā, tostarp no jauna izbūvējamā, esošā, pārbūvējamā vai atjaunojamā, un nodrošinātu, ka tas kļūst par funkcionējošas meliorācijas sistēmas sastāvdaļu saskaņā ar meliorācijas kadastra noteikumiem vai tās beigu posmu, kas uztver drenu sistēmu, grāvju, tostarp susinātājgrāvju un novadgrāvju, vai virszemes noteci no lauksaimniecībā izmantotajām platībām.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Zeme vai meliorācijas sistēma, uz kuras plānots īstenot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intervenci, ir atbalsta pretendenta īpašumā, tiesiskajā valdījumā vai nomā. Ja tā tiek nomāta, līgumā, kas noslēgts vismaz uz projekta īstenošanas un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minēto pēcuzraudzības laiku, paredzēta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īstenošana un mākslīgā mitrāja izbūve.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lauksaimnieks – fiziska vai juridiska persona, kas veic lauksaimniecisko darbību un saņem tiešos maksājumus atbilstoši normatīvajiem aktiem par tiešo maksājumu piešķiršanas kārtību lauksaimniekiem;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vai pašvaldības kapitālsabiedrība, kas īstenos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intervenci pašvaldības nozīmes koplietošanas meliorācijas sistēmā lauksaimniecības zemē;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valsts nozīmes meliorācijas sistēmu apsaimniekotājs vai tiesiskais valdītājs, kas īstenos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intervenci lauksaimniecības zemē;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nozares zinātniskā institūcija, kas veic lauksaimniecisko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Atzinumu par izbūvējamās infrastruktūras atbilstību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prasībām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atbalsta pretendentam izsniedz būvkomersants, kas nodarbina atbilstošas kvalifikācijas speciālistu, kuram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vai ārvalstu augstākās izglītības iestādes izdota profesionālās pilnveides izglītības apliecība, ka tas apguvis kursu par mākslīgo mitrāju izmantošanu ūdeņu kvalitātes uzlabošanai, un apgūto mācību stundu apjoms atbilstoši Eiropas kredītpunktu pārneses un uzkrāšanas sistēmai (ECTS) ir vismaz pieci kredītpunkti;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būvprakses sertifikāts ūdensapgādes, kanalizācijas sistēmu (arī ugunsdzēsības sistēmu) vai meliorācijas sistēmu projektēšanas jomā, un par to ir publiski pieejama informācija Būvniecības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esošs Latvijas Zinātnes padomes lēmums par eksperta tiesību piešķiršanu vides inženierijas un enerģētikas zinātnes nozarē, un par to ir publiski pieejama informācija Latvijas Zinātnes padomes ekspertu datubāzē vai vismaz trīs zinātniskās publikācijas mākslīgo mitrāju un ūdeņu kvalitātes uzlabošanas jomā.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noteiktu būvkomersantu, kam ir tiesības izsniegt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atzinumu: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oficiālajā izdevumā "Latvijas Vēstnesis" publicē paziņojumu par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atzinuma sniedzēju atlasi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w:t>
      </w:r>
      <w:r w:rsidR="00000000" w:rsidRPr="00000000" w:rsidDel="00000000">
        <w:rPr>
          <w:rtl w:val="0"/>
        </w:rPr>
        <w:t xml:space="preserve">ā minētais būvkomersants iesniedz Lauku atbalsta dienestā: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būvkomersanta iekļaušanai atzinumu sniedzēju sarakstā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būvkomersanta nodarbināto atzinuma sagatavotāju sarakstu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 </w:t>
      </w:r>
      <w:r w:rsidR="00000000" w:rsidRPr="00000000" w:rsidDel="00000000">
        <w:rPr>
          <w:rtl w:val="0"/>
        </w:rPr>
        <w:t xml:space="preserve">apakšpunktā</w:t>
      </w:r>
      <w:r w:rsidR="00000000" w:rsidRPr="00000000" w:rsidDel="00000000">
        <w:rPr>
          <w:rtl w:val="0"/>
        </w:rPr>
        <w:t xml:space="preserve"> minētā speciālista kvalifikāciju apliecinoša dokumenta kopiju vai tīmekļvietnes adresi (URL), kurā ievietota atbilstošā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viena mēneša laikā pēc šo noteikumu </w:t>
      </w:r>
      <w:r w:rsidR="00000000" w:rsidRPr="00000000" w:rsidDel="00000000">
        <w:rPr>
          <w:rtl w:val="0"/>
        </w:rPr>
        <w:t xml:space="preserve">15.2.1.</w:t>
      </w:r>
      <w:r w:rsidR="00000000" w:rsidRPr="00000000" w:rsidDel="00000000">
        <w:rPr>
          <w:rtl w:val="0"/>
        </w:rPr>
        <w:t xml:space="preserve">, </w:t>
      </w:r>
      <w:r w:rsidR="00000000" w:rsidRPr="00000000" w:rsidDel="00000000">
        <w:rPr>
          <w:rtl w:val="0"/>
        </w:rPr>
        <w:t xml:space="preserve">15.2.2.</w:t>
      </w:r>
      <w:r w:rsidR="00000000" w:rsidRPr="00000000" w:rsidDel="00000000">
        <w:rPr>
          <w:rtl w:val="0"/>
        </w:rPr>
        <w:t xml:space="preserve"> un </w:t>
      </w:r>
      <w:r w:rsidR="00000000" w:rsidRPr="00000000" w:rsidDel="00000000">
        <w:rPr>
          <w:rtl w:val="0"/>
        </w:rPr>
        <w:t xml:space="preserve">15.2.3. </w:t>
      </w:r>
      <w:r w:rsidR="00000000" w:rsidRPr="00000000" w:rsidDel="00000000">
        <w:rPr>
          <w:rtl w:val="0"/>
        </w:rPr>
        <w:t xml:space="preserve">apakšpunktā</w:t>
      </w:r>
      <w:r w:rsidR="00000000" w:rsidRPr="00000000" w:rsidDel="00000000">
        <w:rPr>
          <w:rtl w:val="0"/>
        </w:rPr>
        <w:t xml:space="preserve"> minēto dokumentu saņemšanas informāciju par būvkomersantu, kas atbilst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minētajām prasībām, publicē savā tīmekļvietnē, norādot būvkomersanta nosaukumu, juridisko adresi, tālruņa numuru un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būvkomersants par izmaiņām šo noteikumu </w:t>
      </w:r>
      <w:r w:rsidR="00000000" w:rsidRPr="00000000" w:rsidDel="00000000">
        <w:rPr>
          <w:rtl w:val="0"/>
        </w:rPr>
        <w:t xml:space="preserve">15.2.2. </w:t>
      </w:r>
      <w:r w:rsidR="00000000" w:rsidRPr="00000000" w:rsidDel="00000000">
        <w:rPr>
          <w:rtl w:val="0"/>
        </w:rPr>
        <w:t xml:space="preserve">apakšpunktā</w:t>
      </w:r>
      <w:r w:rsidR="00000000" w:rsidRPr="00000000" w:rsidDel="00000000">
        <w:rPr>
          <w:rtl w:val="0"/>
        </w:rPr>
        <w:t xml:space="preserve"> minētajā informācijā viena mēneša laikā pēc izmaiņu rašanās rakstveidā informē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īstenošanai izstrādātā būvprojekta autora kvalifikācija atbilst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 </w:t>
      </w:r>
      <w:r w:rsidR="00000000" w:rsidRPr="00000000" w:rsidDel="00000000">
        <w:rPr>
          <w:rtl w:val="0"/>
        </w:rPr>
        <w:t xml:space="preserve">apakšpunktā</w:t>
      </w:r>
      <w:r w:rsidR="00000000" w:rsidRPr="00000000" w:rsidDel="00000000">
        <w:rPr>
          <w:rtl w:val="0"/>
        </w:rPr>
        <w:t xml:space="preserve"> minētajām prasībām, būvprojekta autors pats sagatavo atzinumu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pievieno to būvprojektam.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pamatotu mākslīgā mitrāja izveides nepieciešamību konkrētā meliorācijas sistēmas vai lietusūdens savākšanas un novadīšanas sistēmas posmā, atbalsta pretendents pirms būvprojekta izstrādes uzsākšanas nodrošina vismaz divu, bet ne vairāk kā četru ūdens paraugu ņemšanu un testēšanu, ievērojot ūdens izmeklējumiem akreditētas laboratorijas noteikto procedūru, tostarp pareizu paraugu ņemšanas secību, īstenojamo darbību kārtību, parauga ievākšanas trauku, tā tilpumu un transportēšanas prasības. Paraugus ievāc patstāvīgi vai tā speciālista klātbūtnē, kurš atbilst šo noteikumu </w:t>
      </w:r>
      <w:r w:rsidR="00000000" w:rsidRPr="00000000" w:rsidDel="00000000">
        <w:rPr>
          <w:rtl w:val="0"/>
        </w:rPr>
        <w:t xml:space="preserve">14.1.</w:t>
      </w:r>
      <w:r w:rsidR="00000000" w:rsidRPr="00000000" w:rsidDel="00000000">
        <w:rPr>
          <w:shd w:fill="#ffffff" w:val="clear"/>
          <w:rtl w:val="0"/>
        </w:rPr>
        <w:t xml:space="preserve">, </w:t>
      </w:r>
      <w:r w:rsidR="00000000" w:rsidRPr="00000000" w:rsidDel="00000000">
        <w:rPr>
          <w:rtl w:val="0"/>
        </w:rPr>
        <w:t xml:space="preserve">14.2. </w:t>
      </w:r>
      <w:r w:rsidR="00000000" w:rsidRPr="00000000" w:rsidDel="00000000">
        <w:rPr>
          <w:rtl w:val="0"/>
        </w:rPr>
        <w:t xml:space="preserve">un </w:t>
      </w:r>
      <w:r w:rsidR="00000000" w:rsidRPr="00000000" w:rsidDel="00000000">
        <w:rPr>
          <w:rtl w:val="0"/>
        </w:rPr>
        <w:t xml:space="preserve">14.3. </w:t>
      </w:r>
      <w:r w:rsidR="00000000" w:rsidRPr="00000000" w:rsidDel="00000000">
        <w:rPr>
          <w:rtl w:val="0"/>
        </w:rPr>
        <w:t xml:space="preserve">apakšpunktā</w:t>
      </w:r>
      <w:r w:rsidR="00000000" w:rsidRPr="00000000" w:rsidDel="00000000">
        <w:rPr>
          <w:rtl w:val="0"/>
        </w:rPr>
        <w:t xml:space="preserve"> minētajām prasībām, un par to izdara atzīmi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 atzinumā.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Ūdens paraugu ņem tajā meliorācijas sistēmas posmā, kurā paredzēta mākslīgā mitrāja būvniecība, vismaz ar 14 dienu intervālu laikposmā no 1. septembra līdz 30. aprīlim un ne agrāk kā 12 mēnešus pirms atbalsta pieprasīšanas.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minētajiem paraugiem nosaka šādus kvalitātes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slāpekļa koncentrāciju;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 amonija slāpekļa koncentrāciju;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kopējo fosfora koncentrāciju.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Mākslīgā mitrāja projekta izstrāde un būvniecība ir uzskatāma par atbilstošu tādā meliorācijas sistēmas posmā, kuru identificē ar attiecīgām piketa atzīmēm dabā, mākslīgā mitrāja ārējās robežas būvprojektā ir apzīmētas ar koordinātām Latvijas normālo augstumu sistēmā, un kurā ir konstatēta neatbilstoša ūdens kvalitāte, par ko liecina vismaz viens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minēto ūdens kvalitāti raksturojošā parametra vidējās koncentrācijas pārsniegtais robežlielums: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slāpekļa koncentrācija – vairāk par 2,5 mg/l;</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amonija slāpekļa koncentrācija – vairāk par 0,12 mg/l;</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fosfora koncentrācija – vairāk par 0,065 mg/l.</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minētajiem kritērijiem ir konstatēta nepieciešamība attiecīgajā meliorācijas sistēmas posmā izbūvēt mākslīgo mitrāju, atbalsta pretendents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minētos ūdens paraugu testēšanas pārskata datus iesniedz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minētajam būvkomersantam atzinuma sagatavošanai. Būvprojektu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īstenošanai izstrādā atbilstoši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minētajam atzinumam, mākslīgā mitrāja ārējās robežas būvprojektā ir apzīmētas ar koordinātām Latvijas normālo augstumu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intervenci īsteno meliorētā lauksaimniecības zemē, tostarp ar konkrēto meliorācijas sistēmu saistītajās platībās, kuras, lai nodrošinātu mākslīgā mitrāja funkcionalitāti, atmežojamas bez kompensācijas maksas atbilstoši normatīvajiem aktiem par atmežošanas kompensācijas noteikšanas kritērijiem, aprēķināšanas un atlīdzināšanas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intervenci un ierīkojot mākslīgo mitrāju: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ietver bridēju vai niedrāju putnu dzīvotnes elementus: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lēzenus krastus;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trešo daļu no robežjoslas platuma, kas atrodas starp ūdeni un zālāju, cik vien iespējams, uztur bez koku, krūmu un niedrāja apauguma, lai netraucētu putnu ligzdošanu mitrājā, un šīs robežjoslas turpmākos uzturēšanas darbus (arī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minētajā projekta pēcuzraudzības laikā) īsteno tikai laikposmā no 1. augusta līdz 31. martam;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izbūves vietu izvēlas pēc iespējas tuvāk ietecei regulētā ūdensnotekā vai dabiskā ūdenstecē;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izbūve nedrīkst negatīvi ietekmēt augštecē un lejtecē esošo meliorācijas sistēmu funkcionalitāti;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virszemes plūsmas mākslīgā mitrāja: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spoguļvirsmas laukums ir vismaz 0,5–2,0 procenti no sateces baseina platības. Ja sateces baseina platība ir tik liela, ka nav iespējams nodrošināt šādu spoguļvirsmas laukuma attiecību vienā mitrājā, ir pieļaujams sadalīt kopējo nepieciešamo platību vienā projektā;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slāņa dziļums no pamatnes visā platībā ir 0,5–1,5 metri;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attīrās seklā slānī, vismaz 50 procentu no mākslīgā mitrāja spoguļvirsmas laukuma aizņemot veģetācijai, ko veido dabiski vai stādīti ūdensaugi;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pazemes plūsmas mākslīgā mitrāja: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 plūsma tiek filtrēta caur 0,7–1,2 metrus biezu rupjas smilts un grants filtru, kura virspusē visā platībā iestādīti mitrumu mīloši augi;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funkcionēšanai pēc nepieciešamības var izmantot iebūvētas ūdens plūsmas regulēšanas iekārtas.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Pielāgojot mākslīgā mitrāja konstrukciju specifisku lauksaimnieciskās darbības radītu notekūdeņu attīrīšanai,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īstenošanai var paredzēt kombinēta virszemes un pazemes ūdens plūsmas mitrāja izveidi, ja nepieciešams, pazemes plūsmas mitrāja pamatni veidojot hermētisku un ievērojot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minētos katram konstrukcijas veidam atbilstošos kritērijus.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Maksimālais attiecināmo izmaksu apmērs vienam projektam ir līdz 130 000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intensitāte ir 100 procentu no projekta attiecināmajiem izdevumiem saskaņā ar regulas </w:t>
      </w:r>
      <w:r w:rsidR="00000000" w:rsidRPr="00000000" w:rsidDel="00000000">
        <w:rPr>
          <w:rtl w:val="0"/>
        </w:rPr>
        <w:t xml:space="preserve">2021/2115</w:t>
      </w:r>
      <w:r w:rsidR="00000000" w:rsidRPr="00000000" w:rsidDel="00000000">
        <w:rPr>
          <w:rtl w:val="0"/>
        </w:rPr>
        <w:t xml:space="preserve"> 73. panta 4. punkta "c" apakšpunkta "i"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īstenošanā ir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mākslīgā mitrāja izveidi saistītās izmaksas – projekta iesnieguma sagatavošanas izmaksas, visas izmaksas par darbībām, kas atbilstoši normatīvajiem aktiem ir paredzētas būvniecības ieceres īstenošanai (piemēram, projektēšana, būvdarbi, būvuzraudzība, būvekspertīze), trešo personu sniegto ārējo pakalpojumu izmaksas, ja šie pakalpojumi tiek izmantoti tikai projekta mērķu sasniegšanai, tajā skaitā vienreizējās izmaksas, kas saistītas ar iekārtu uzstādīšanu pazemes vai kombinētās ūdens plūsmas mitrājos, izdevumi par degvielu un citas ar projekta īstenošanu saistītās vispārējās izmaksas, tostarp par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minēto ūdens paraugu analīzēm, nomas līguma reģistrāciju zemesgrāmatā un kompensāciju par zaudētiem ienākumiem izveidotā mākslīgā mitrāja platībā. Šīs izmaksas, ievērojot regulas 2021/2115 83. panta 1. punkta "b" apakšpunktu, sedz kā vienības izmaksas – 100 000 </w:t>
      </w:r>
      <w:r w:rsidR="00000000" w:rsidRPr="00000000" w:rsidDel="00000000">
        <w:rPr>
          <w:i w:val="1"/>
          <w:rtl w:val="0"/>
        </w:rPr>
        <w:t xml:space="preserve">euro</w:t>
      </w:r>
      <w:r w:rsidR="00000000" w:rsidRPr="00000000" w:rsidDel="00000000">
        <w:rPr>
          <w:rtl w:val="0"/>
        </w:rPr>
        <w:t xml:space="preserve"> par vienu hektāru lielu mākslīgo mitrāju saskaņā ar Zemkopības ministrijas apstiprināto vienības izmaksas finansējuma aprēķina metodiku, kas sagatavota saskaņā ar regulas </w:t>
      </w:r>
      <w:r w:rsidR="00000000" w:rsidRPr="00000000" w:rsidDel="00000000">
        <w:rPr>
          <w:rtl w:val="0"/>
        </w:rPr>
        <w:t xml:space="preserve">2021/2115</w:t>
      </w:r>
      <w:r w:rsidR="00000000" w:rsidRPr="00000000" w:rsidDel="00000000">
        <w:rPr>
          <w:rtl w:val="0"/>
        </w:rPr>
        <w:t xml:space="preserve"> 83. panta 2. punkta "a" apakšpunktu;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un vadības personāla atlīdzības izmaksas. Šīs izmaksas, ievērojot regulas </w:t>
      </w:r>
      <w:r w:rsidR="00000000" w:rsidRPr="00000000" w:rsidDel="00000000">
        <w:rPr>
          <w:rtl w:val="0"/>
        </w:rPr>
        <w:t xml:space="preserve">2021/2115</w:t>
      </w:r>
      <w:r w:rsidR="00000000" w:rsidRPr="00000000" w:rsidDel="00000000">
        <w:rPr>
          <w:rtl w:val="0"/>
        </w:rPr>
        <w:t xml:space="preserve"> 83. panta 1. punkta "d" apakšpunktu, sedz kā vienotas likmes finansējumu, ko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 55. panta 1. punktu projekta iesniegumā plāno kā vienu izmaksu pozīciju, piemērojot vienotu likmi 10 procentu apmērā no šo noteikumu </w:t>
      </w:r>
      <w:r w:rsidR="00000000" w:rsidRPr="00000000" w:rsidDel="00000000">
        <w:rPr>
          <w:rtl w:val="0"/>
        </w:rPr>
        <w:t xml:space="preserve">27.1.1. </w:t>
      </w:r>
      <w:r w:rsidR="00000000" w:rsidRPr="00000000" w:rsidDel="00000000">
        <w:rPr>
          <w:rtl w:val="0"/>
        </w:rPr>
        <w:t xml:space="preserve">apakšpunktā</w:t>
      </w:r>
      <w:r w:rsidR="00000000" w:rsidRPr="00000000" w:rsidDel="00000000">
        <w:rPr>
          <w:rtl w:val="0"/>
        </w:rPr>
        <w:t xml:space="preserve"> minētajām projekta tiešajām attiecināmajām izmaksām. Šīs izmaksas piemēro tikai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un </w:t>
      </w:r>
      <w:r w:rsidR="00000000" w:rsidRPr="00000000" w:rsidDel="00000000">
        <w:rPr>
          <w:rtl w:val="0"/>
        </w:rPr>
        <w:t xml:space="preserve">13.4. </w:t>
      </w:r>
      <w:r w:rsidR="00000000" w:rsidRPr="00000000" w:rsidDel="00000000">
        <w:rPr>
          <w:rtl w:val="0"/>
        </w:rPr>
        <w:t xml:space="preserve">apakšpunktā</w:t>
      </w:r>
      <w:r w:rsidR="00000000" w:rsidRPr="00000000" w:rsidDel="00000000">
        <w:rPr>
          <w:rtl w:val="0"/>
        </w:rPr>
        <w:t xml:space="preserve"> minētajam atbalsta pretendentam;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netiešās attiecināmās izmaksas, ko, ievērojot regulas </w:t>
      </w:r>
      <w:r w:rsidR="00000000" w:rsidRPr="00000000" w:rsidDel="00000000">
        <w:rPr>
          <w:rtl w:val="0"/>
        </w:rPr>
        <w:t xml:space="preserve">2021/2115</w:t>
      </w:r>
      <w:r w:rsidR="00000000" w:rsidRPr="00000000" w:rsidDel="00000000">
        <w:rPr>
          <w:rtl w:val="0"/>
        </w:rPr>
        <w:t xml:space="preserve"> 83. panta 1. punkta "d" apakšpunktu, sedz kā vienotas likmes finansējumu. Projekta netiešās attiecināmās izmaksas atbilstoši regulas </w:t>
      </w:r>
      <w:r w:rsidR="00000000" w:rsidRPr="00000000" w:rsidDel="00000000">
        <w:rPr>
          <w:rtl w:val="0"/>
        </w:rPr>
        <w:t xml:space="preserve">2021/1060</w:t>
      </w:r>
      <w:r w:rsidR="00000000" w:rsidRPr="00000000" w:rsidDel="00000000">
        <w:rPr>
          <w:rtl w:val="0"/>
        </w:rPr>
        <w:t xml:space="preserve"> 54. panta "a" apakšpunktam projekta iesniegumā plāno kā vienu izmaksu pozīciju, piemērojot vienotu likmi septiņu procentu apmērā no tiešajām attiecināmajām izmaksām un neietverot šo noteikumu </w:t>
      </w:r>
      <w:r w:rsidR="00000000" w:rsidRPr="00000000" w:rsidDel="00000000">
        <w:rPr>
          <w:rtl w:val="0"/>
        </w:rPr>
        <w:t xml:space="preserve">27.1.2. </w:t>
      </w:r>
      <w:r w:rsidR="00000000" w:rsidRPr="00000000" w:rsidDel="00000000">
        <w:rPr>
          <w:rtl w:val="0"/>
        </w:rPr>
        <w:t xml:space="preserve">apakšpunktā</w:t>
      </w:r>
      <w:r w:rsidR="00000000" w:rsidRPr="00000000" w:rsidDel="00000000">
        <w:rPr>
          <w:rtl w:val="0"/>
        </w:rPr>
        <w:t xml:space="preserve"> minētās izmaksas. Šīs izmaksas piemēro tikai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un </w:t>
      </w:r>
      <w:r w:rsidR="00000000" w:rsidRPr="00000000" w:rsidDel="00000000">
        <w:rPr>
          <w:rtl w:val="0"/>
        </w:rPr>
        <w:t xml:space="preserve">13.4. </w:t>
      </w:r>
      <w:r w:rsidR="00000000" w:rsidRPr="00000000" w:rsidDel="00000000">
        <w:rPr>
          <w:rtl w:val="0"/>
        </w:rPr>
        <w:t xml:space="preserve">apakšpunktā</w:t>
      </w:r>
      <w:r w:rsidR="00000000" w:rsidRPr="00000000" w:rsidDel="00000000">
        <w:rPr>
          <w:rtl w:val="0"/>
        </w:rPr>
        <w:t xml:space="preserve"> minētajam atbalsta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īstenošanā ir šādi neattiecināmie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kas saistīti ar tādu apakšlīgumu slēgšanu, kuri mākslīgi un nepamatoti palielina projekta izdevumus un kuros samaksa ir noteikta procentos no kopējiem projekta 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būvju uzturēšanas izdevumi;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atlīdzība personālam, izņemot šo noteikumu </w:t>
      </w:r>
      <w:r w:rsidR="00000000" w:rsidRPr="00000000" w:rsidDel="00000000">
        <w:rPr>
          <w:rtl w:val="0"/>
        </w:rPr>
        <w:t xml:space="preserve">27.1.2. </w:t>
      </w:r>
      <w:r w:rsidR="00000000" w:rsidRPr="00000000" w:rsidDel="00000000">
        <w:rPr>
          <w:rtl w:val="0"/>
        </w:rPr>
        <w:t xml:space="preserve">apakšpunktā</w:t>
      </w:r>
      <w:r w:rsidR="00000000" w:rsidRPr="00000000" w:rsidDel="00000000">
        <w:rPr>
          <w:rtl w:val="0"/>
        </w:rPr>
        <w:t xml:space="preserve"> minētos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nodokļi un nodevas, izņemot pievienotās vērtības nodokli pretendentiem, kas to neatgūst no valsts budžeta, un zemesgrāmatu nodevu šo noteikumu </w:t>
      </w:r>
      <w:r w:rsidR="00000000" w:rsidRPr="00000000" w:rsidDel="00000000">
        <w:rPr>
          <w:rtl w:val="0"/>
        </w:rPr>
        <w:t xml:space="preserve">27.1.1.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transportlīdzekļu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izdevumi, kas radušies pirms projekta iesnieguma iesniegšanas, izņemot izdevumus, kas saistīti ar projektu pamatojošās dokumentācijas un iesnieguma sagatavošanu un ar vispārējām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izdevumi, kas nav attiecināmi saskaņā ar regulas </w:t>
      </w:r>
      <w:r w:rsidR="00000000" w:rsidRPr="00000000" w:rsidDel="00000000">
        <w:rPr>
          <w:rtl w:val="0"/>
        </w:rPr>
        <w:t xml:space="preserve">2021/2115</w:t>
      </w:r>
      <w:r w:rsidR="00000000" w:rsidRPr="00000000" w:rsidDel="00000000">
        <w:rPr>
          <w:rtl w:val="0"/>
        </w:rPr>
        <w:t xml:space="preserve"> 73. panta 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atbalsta saņēmējam ir pieejams avanss līdz 50 procentiem no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minētajām attiecināmajām izmaksām pēc tam, kad apstiprināts lēmums par projekta iesniegumu.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Atbalsta pieprasīšanas, piešķiršanas un intervences īstenošanas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projektu iesniegumus sarindo dilstošā secībā atbilstoši punktu skaitam projektu atlases kritērijos, kas apstiprināti Kopējās lauksaimniecības politikas Stratēģiskā plāna 2023.–2027. gadam uzraudzības komitejā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Plānošanas periodā viens atbalsta pretendents var iesniegt vairākus projektus.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piešķiršanas, administrēšanas un uzraudzības vispārējo kārtību lauku un zivsaimniecības attīstībai Lauku atbalsta dienesta elektroniskās pieteikšanās sistēmā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intervences kodu, uz kuru piesakās;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brīdī – darbības aprakstu;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attiecināmo izmaksu tāmi, tostarp informāciju par projektu – projekta mērķi, aprakstu, īstenošanas vietu, izbūvējamā mākslīgā mitrāja veidu atkarībā no paredzētās ūdens plūsmas un tā platību;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minētos ūdens analīžu rezultātus, kartogrāfisko materiālu ar identificējamām projekta īstenošanai plānotajām platībām, piketa punktu atzīmēm, mākslīgā mitrāja ārējās robežas būvprojektā ir apzīmētas ar koordinātām Latvijas normālo augstumu sistēmā, kā arī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atzinumu;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 prasību izpildi saistībā ar zemes vai meliorācijas sistēmas statusu. Šos dokumentus neiesniedz, ja konkrēto faktu apliecina ieraksts zemesgrāmatā.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intervenci uzsāk īstenot 12 mēnešu laikā pēc dienas, kad stājies spēkā lēmums par projekta iesnieguma apstiprināšanu. Šajā punktā minētais nosacījums ir uzskatāms par izpildītu, ja atbalsta saņēmējs 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saņēmējs par projektu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minētajā intervencē Lauku atbalsta dienestā papildus iesniedz meliorācijas sistēmu un hidrotehnisko būvju tehniskās pārbaudes atzinuma kopiju vai būves tehniskās apsekošanas atzinuma kopiju, ja projekta iesniegumam nav pievienots būvprojekts.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būve ir virszemes plūsmas mitrājs, tad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minētajā atzinumā norāda šādus izmērāmos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spoguļvirsmas laukums ir 0,5–2,0 procenti no sateces baseina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mākslīgā mitrāja dziļums visā platībā ir 0,5–1,5 metri;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plūsmas filtrācijai izmantotās veģetācijas aizņemtā virsmas platība ir vismaz 50 procentu no mākslīgā mitrāja spoguļvirsmas laukuma.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būve ir pazemes plūsmas mitrājs, tad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minētajā atzinumā norāda, ka izmērāmais kritērijs ir ūdens plūsmas filtrēšana caur 0,7–1,2 metrus biezu rupjas smilts un grants filtru, kura virspusē visā platībā iestādīti mitrumu mīloši augi.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īstenošanas atbalsta saņēmējs publisko finansējumu par mākslīgā mitrāja izveidi pilnā apmērā saņem tikai pēc tam, kad Būvniecības informācijas sistēmā ir izdarīta atzīme par būves pieņemšanu ekspluatācijā vai par būvdarbu pabeigšanu.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Lauku atbalsta dienests normatīvajos aktos par valsts un Eiropas Savienības atbalsta piešķiršanas, administrēšanas un uzraudzības vispārējo kārtību lauku un zivsaimniecības attīstībai noteiktajā kārtībā ir tiesīgs pieprasīt atbalsta atmaksu pilnā vai daļējā apmērā, tostarp situācijā, kad atbalsta pretendents pārtrauc projektu, ieguldījumi nav īstenoti vai tie īstenoti tikai daļēji un nav atbilstoši projektam.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saņēmējs vismaz piecus gadus pēc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īstenošanas nodrošina izbūvētā mākslīgā mitrāja uzturēšanu un ilgtspēju atbilstoši normatīvajiem aktiem par meliorācijas sistēmas ekspluatāciju un uzturēšanu.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24-TA-2765</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24-TA-2765</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noteikumu_projekts_24-TA-2765.docx</dc:title>
</cp:coreProperties>
</file>

<file path=docProps/custom.xml><?xml version="1.0" encoding="utf-8"?>
<Properties xmlns="http://schemas.openxmlformats.org/officeDocument/2006/custom-properties" xmlns:vt="http://schemas.openxmlformats.org/officeDocument/2006/docPropsVTypes"/>
</file>