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415</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25. jūnijā (prot. Nr. 26 32.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2022. gada 5. jūlija noteikumos Nr. 418 "Latvijas Atveseļošanas un noturības mehānisma plāna 5.1.r. reformu un investīciju virziena "Produktivitātes paaugstināšana caur investīciju apjoma palielināšanu P&amp;A" 5.1.1.r. reformas "Inovāciju pārvaldība un privāto P&amp;A investīciju motivācija" 5.1.1.2.i. investīcijas "Atbalsta instruments inovāciju klasteru attīstībai" īstenošanas noteikumi kompetences centru ietvaros"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w:t>
      </w:r>
      <w:r>
        <w:br/>
      </w:r>
      <w:r w:rsidR="00000000" w:rsidRPr="00000000" w:rsidDel="00000000">
        <w:rPr>
          <w:rStyle w:val="paragraph"/>
          <w:i w:val="1"/>
          <w:rtl w:val="0"/>
        </w:rPr>
        <w:t xml:space="preserve">Likuma par budžetu un finanšu vadību</w:t>
      </w:r>
      <w:r w:rsidR="00000000" w:rsidRPr="00000000" w:rsidDel="00000000">
        <w:rPr>
          <w:rStyle w:val="paragraph"/>
          <w:i w:val="1"/>
          <w:rtl w:val="0"/>
        </w:rPr>
        <w:t xml:space="preserve"> 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2022. gada 5. jūlija noteikumos Nr. 418 "Latvijas Atveseļošanas un noturības mehānisma plāna 5.1.r. reformu un investīciju virziena "Produktivitātes paaugstināšana caur investīciju apjoma palielināšanu P&amp;A" 5.1.1.r. reformas "Inovāciju pārvaldība un privāto P&amp;A investīciju motivācija" 5.1.1.2.i. investīcijas "Atbalsta instruments inovāciju klasteru attīstībai" īstenošanas noteikumi kompetences centru ietvaros" (Latvijas Vēstnesis, 2022, 130. nr.; 2023, 131.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noteikumu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"Latvijas Atveseļošanas un noturības mehānisma plāna 5.1. reformu un investīciju virziena "Produktivitātes paaugstināšana caur investīciju apjoma palielināšanu P&amp;A" 5.1.1.r. reformas "Inovāciju pārvaldība un privāto P&amp;A investīciju motivācija" 5.1.1.2.i. investīcijas "Atbalsta instruments pētniecībai un internacionalizācijai" pirmās kārtas īstenošanas noteikumi".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 Noteikumi nosaka Latvijas Atveseļošanas un noturības mehānisma plāna 5.1.r. reformu un investīciju virziena "Produktivitātes paaugstināšana caur investīciju apjoma palielināšanu P&amp;A" 5.1.1.r. reformas "Inovāciju pārvaldība un privāto P&amp;A investīciju motivācija" 5.1.1.2.i. investīcijas "Atbalsta instruments pētniecībai un internacionalizācijai" (turpmāk – investīcija) pirmās kārtas īstenošanas un uzraudzības kārtību, tostarp nosaka: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 investīcijas mērķi;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 investīcijai pieejamo finansējumu un sasniedzamos rādītājus;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 atbalstāmās darbības un izmaksu attiecināmības nosacījumus;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 investīcijas ieviešanā un uzraudzībā iesaistīto institūciju kompetences, tai skaitā ar komercdarbības atbalsta saņemšanu saistītos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6.1.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 mērķis – līdz 2025. gada 30. jūnijam apstiprinātas saistības vismaz 22 500 000 </w:t>
      </w:r>
      <w:r w:rsidR="00000000" w:rsidRPr="00000000" w:rsidDel="00000000">
        <w:rPr>
          <w:i w:val="1"/>
          <w:rtl w:val="0"/>
        </w:rPr>
        <w:t xml:space="preserve">euro</w:t>
      </w:r>
      <w:r w:rsidR="00000000" w:rsidRPr="00000000" w:rsidDel="00000000">
        <w:rPr>
          <w:rtl w:val="0"/>
        </w:rPr>
        <w:t xml:space="preserve"> apmērā no šo noteikumu 5. punktā noteiktā finansējuma;".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6.2.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"6.2. uzraudzības rādītājs – līdz 2024. gada 31. decembrim apstiprinātas saistības vismaz 11 250 000 </w:t>
      </w:r>
      <w:r w:rsidR="00000000" w:rsidRPr="00000000" w:rsidDel="00000000">
        <w:rPr>
          <w:i w:val="1"/>
          <w:rtl w:val="0"/>
        </w:rPr>
        <w:t xml:space="preserve">euro </w:t>
      </w:r>
      <w:r w:rsidR="00000000" w:rsidRPr="00000000" w:rsidDel="00000000">
        <w:rPr>
          <w:rtl w:val="0"/>
        </w:rPr>
        <w:t xml:space="preserve">apmērā no šo noteikumu 5. punktā noteiktā finansējuma;".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Papildināt ar 6.</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Kompetences centri pēc Ekonomikas ministrijas (turpmāk – nozares ministrija) pieprasījuma, bet ne retāk kā reizi gadā iesniedz šādus viedās specializācijas jomas rādītājus: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 pētniecības un attīstības izdevumu apjoms – publiskais finansējums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2. pētniecības un attīstības izdevumu apjoms – privātās investīcijas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3. kopējie pētniecības un attīstības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3.1. iekšējie izdevumi uzņēmumā veiktajiem pētniecības un attīstības darbiem;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3.2. ārpakalpojumu izdevumi pētniecības un attīstības darbiem, kas pasūtīti citās iestādēs, uzņēmumos, organizācijās;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4. kopējais pētniecības un attīstības personāls (pilna laika ekvivalents):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4.1. iekšējais pētniecības un attīstības personāls: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4.1.1. pētnieki (zinātnieki un citi profesionāļi);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4.1.2. pētniecības un attīstības tehniskais un pētniecības un attīstības atbalsta personāls;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4.2. ārējais pētniecības un attīstības personāls – pētnieki, ieskaitot neapmaksātos (zinātnieki un citi profesionāļi);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5. šo noteikumu 6.</w:t>
      </w:r>
      <w:r w:rsidR="00000000" w:rsidRPr="00000000" w:rsidDel="00000000">
        <w:rPr>
          <w:vertAlign w:val="superscript"/>
          <w:rtl w:val="0"/>
        </w:rPr>
        <w:t xml:space="preserve">1</w:t>
      </w:r>
      <w:r w:rsidR="00000000" w:rsidRPr="00000000" w:rsidDel="00000000">
        <w:rPr>
          <w:rtl w:val="0"/>
        </w:rPr>
        <w:t xml:space="preserve">4. apakšpunktā minētā pētniecības un attīstības personāla izglītība (skaits):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5.1. doktora grāds;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5.2. maģistra grāds, bakalaura grāds, pirmā vai otrā līmeņa augstākā vai profesionālā izglītība;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5.3. cita līmeņa izglītība, kas ir zemāka par šo noteikumu 6.</w:t>
      </w:r>
      <w:r w:rsidR="00000000" w:rsidRPr="00000000" w:rsidDel="00000000">
        <w:rPr>
          <w:vertAlign w:val="superscript"/>
          <w:rtl w:val="0"/>
        </w:rPr>
        <w:t xml:space="preserve">1</w:t>
      </w:r>
      <w:r w:rsidR="00000000" w:rsidRPr="00000000" w:rsidDel="00000000">
        <w:rPr>
          <w:rtl w:val="0"/>
        </w:rPr>
        <w:t xml:space="preserve">5.2. apakšpunktā minēto;</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6. piesaistītais ārvalstu finansējums (</w:t>
      </w:r>
      <w:r w:rsidR="00000000" w:rsidRPr="00000000" w:rsidDel="00000000">
        <w:rPr>
          <w:i w:val="1"/>
          <w:rtl w:val="0"/>
        </w:rPr>
        <w:t xml:space="preserve">euro</w:t>
      </w:r>
      <w:r w:rsidR="00000000" w:rsidRPr="00000000" w:rsidDel="00000000">
        <w:rPr>
          <w:rtl w:val="0"/>
        </w:rPr>
        <w:t xml:space="preserve">) (no starptautiskām pētniecības programmām vai no ārvalstu partneriem) pētniecībai uzņēmumā;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7. rūpnieciskie pētījumi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8. tehniski ekonomiskā priekšizpēte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9. eksperimentālās izstrādes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10. darbaspēka izmaksas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11. jaunradītās tehnoloģijas (skaits);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12. jaunradītie produkti (preces un pakalpojumi, kas nav tehnoloģijas) (skaits);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13. atbalstīto komersantu skaits (skaits);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14. radītie rūpnieciskā īpašuma objekti (skaits):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14.1. patenti un patentu pieteikumi (skaits);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14.2. augu šķirne (skaits);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14.3. reģistrēts dizainparaugs (skaits);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14.4. pusvadītāja izstrādājums vai tā pieteikums (skaits);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14.5. preču zīme (ieskaitot kolektīvās zīmes) un sertifikācijas zīme (skaits);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15. publikācijas</w:t>
      </w:r>
      <w:r w:rsidR="00000000" w:rsidRPr="00000000" w:rsidDel="00000000">
        <w:rPr>
          <w:i w:val="1"/>
          <w:rtl w:val="0"/>
        </w:rPr>
        <w:t xml:space="preserve"> WoS</w:t>
      </w:r>
      <w:r w:rsidR="00000000" w:rsidRPr="00000000" w:rsidDel="00000000">
        <w:rPr>
          <w:rtl w:val="0"/>
        </w:rPr>
        <w:t xml:space="preserve"> un </w:t>
      </w:r>
      <w:r w:rsidR="00000000" w:rsidRPr="00000000" w:rsidDel="00000000">
        <w:rPr>
          <w:i w:val="1"/>
          <w:rtl w:val="0"/>
        </w:rPr>
        <w:t xml:space="preserve">SCOPUS</w:t>
      </w:r>
      <w:r w:rsidR="00000000" w:rsidRPr="00000000" w:rsidDel="00000000">
        <w:rPr>
          <w:rtl w:val="0"/>
        </w:rPr>
        <w:t xml:space="preserve"> vai konferences (skaits);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16. ar projekta īstenošanu saistītās jaunradītās darba vietas pētniecībai un attīstībai (skaits);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17. komersanta neto apgrozījums (</w:t>
      </w:r>
      <w:r w:rsidR="00000000" w:rsidRPr="00000000" w:rsidDel="00000000">
        <w:rPr>
          <w:i w:val="1"/>
          <w:rtl w:val="0"/>
        </w:rPr>
        <w:t xml:space="preserve">euro</w:t>
      </w:r>
      <w:r w:rsidR="00000000" w:rsidRPr="00000000" w:rsidDel="00000000">
        <w:rPr>
          <w:rtl w:val="0"/>
        </w:rPr>
        <w:t xml:space="preserve">) no projekta rezultāta ieviešanas saimnieciskajā darbībā vai komercializēšanas;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18. komersanta eksports (</w:t>
      </w:r>
      <w:r w:rsidR="00000000" w:rsidRPr="00000000" w:rsidDel="00000000">
        <w:rPr>
          <w:i w:val="1"/>
          <w:rtl w:val="0"/>
        </w:rPr>
        <w:t xml:space="preserve">euro</w:t>
      </w:r>
      <w:r w:rsidR="00000000" w:rsidRPr="00000000" w:rsidDel="00000000">
        <w:rPr>
          <w:rtl w:val="0"/>
        </w:rPr>
        <w:t xml:space="preserve">) no projekta rezultāta ieviešanas saimnieciskajā darbībā vai komercializēšanas."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 Nozares ministrija nodrošina savlaicīgu datu ievadi Kohēzijas politikas fondu vadības informācijas sistēmā (turpmāk – Vadības informācijas sistēma), bet ne retāk kā reizi sešos mēnešos, kā arī šo noteikumu 6. punktā minēto rādītāju uzskaiti, ņemot vērā: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7.1. kompetences centra ievadīto informāciju Vadības informācijas sistēmā atbilstoši šo noteikumu 54.1.8. apakšpunktam par piešķirto Atveseļošanas fonda finansējumu;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7.2. kompetences centra sniegto informāciju atbilstoši šo noteikumu 54.1.9. apakšpunktam."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13.1.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"13.1. piedalīties un nodrošināt, ka pētniecības projektu atlases padomes sēdēs un pētniecības projektu vērtēšanā tiek ievērots interešu konflikta novēršanas princips saskaņā ar Komisijas 2018. gada 18. jūlija Regulas (ES) Nr. 2018/1046 par finanšu noteikumiem, ko piemēro Savienības vispārējam budžetam, ar kuru groza Regulas (ES) Nr. 1296/2013, (ES) Nr. 1301/2013, (ES) Nr. 1303/2013, (ES) Nr. 1304/2013, (ES) Nr. 1309/2013, (ES) Nr. 1316/2013, (ES) Nr. 223/2014, (ES) Nr. 283/2014 un Lēmumu Nr. 541/2014/ES un atceļ Regulu (ES, </w:t>
      </w:r>
      <w:r w:rsidR="00000000" w:rsidRPr="00000000" w:rsidDel="00000000">
        <w:rPr>
          <w:i w:val="1"/>
          <w:rtl w:val="0"/>
        </w:rPr>
        <w:t xml:space="preserve">Euratom</w:t>
      </w:r>
      <w:r w:rsidR="00000000" w:rsidRPr="00000000" w:rsidDel="00000000">
        <w:rPr>
          <w:rtl w:val="0"/>
        </w:rPr>
        <w:t xml:space="preserve">) Nr. 966/2012 (turpmāk – Komisijas regula Nr. 2018/1046), 61. pantu, kā arī caurskatāmības un vienlīdzības principu, vienlaikus novēršot korupcijas, krāpšanas un dubultā finansējuma risku, ja nepieciešams, veicot atbilstošus korekcijas pasākumus;".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Papildināt ar 18.</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Lai nodrošinātu investīcijas atbilstību principam "nenodarīt būtisku kaitējumu" saskaņā ar Eiropas Parlamenta un Padomes 2021. gada 12. februāra Regulas 2021/241, ar ko izveido Atveseļošanas un noturības mehānismu (turpmāk – regula Nr. 2021/241), 2. panta 6. punktu, investīcijas ietvaros Atveseļošanas fonda finansējumu nepiešķir šādām darbībām: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1. darbībām, kas saistītas ar fosilo kurināmo, tostarp ar tā pakārtotu izmantošanu (izņemot elektroenerģijas vai siltuma ražošanas projektus), kā arī ar saistīto pārvades un sadales infrastruktūru, izmantojot dabasgāzi, atbilstoši Eiropas Komisijas paziņojuma "Tehniskie norādījumi par principa "nenodarīt būtisku kaitējumu" piemērošanu saskaņā ar Atveseļošanas un noturības mehānisma regulu" (Eiropas Savienības Oficiālais Vēstnesis, 2021. gada 18. februāris, Nr. C 58/1) III pielikuma nosacījumiem;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2. darbībām, kas saistītas ar atkritumu poligoniem, atkritumu sadedzināšanas iekārtām (izņemot darbības, kas paredzētas vienīgi nepārstrādājamu bīstamo atkritumu apstrādes iekārtām un esošām iekārtām, lai palielinātu energoefektivitāti, uztvertu glabāšanai vai izmantošanai paredzētās izplūdes gāzes vai reģenerētu materiālus no sadedzināšanas iekārtās radītajiem pelniem, ar nosacījumu, ka šādas darbības nepalielina iekārtu atkritumu pārstrādes jaudu vai nepagarina iekārtu darbmūžu, par ko pētniecības projekta noslēgumā ir sniegti pierādījumi iekārtu līmenī) un mehāniski bioloģiskās apstrādes iekārtām (izņemot darbības ar esošām iekārtām, kas paredzētas, lai palielinātu energoefektivitāti vai modernizētu dalīto atkritumu pārstrādi, tos pārveidojot par komposta bioatkritumiem, un veiktu bioatkritumu anaerobo noārdīšanu, ar nosacījumu, ka šādas darbības nepalielina iekārtu atkritumu pārstrādes jaudu vai nepagarina iekārtu darbmūžu, par ko pētniecības projekta noslēgumā ir sniegti pierādījumi iekārtu līmenī);</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3. darbībām, kur ilgstoša atkritumu apglabāšana var radīt kaitējumu videi;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4. darbībām, kas kaitē labam ūdensobjektu stāvoklim vai labam to ekoloģiskajam potenciālam, ieskaitot virszemes ūdeņus un gruntsūdeņus, vai labam jūras ūdeņu vides stāvoklim;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5. darbībām, kas kaitē aprites ekonomikai, tostarp atkritumu rašanās novēršanai un reciklēšanai, vienā vai vairākos produktu aprites cikla posmos radot būtiskus efektivitātes trūkumus materiālu izmantošanā vai tādu dabas resursu tiešā vai netiešā izmantošanā kā neatjaunojami energoresursi, izejvielas, ūdens un zeme, tostarp produktu ilgizturības, remontējamības, modernizējamības, atkārtotas lietojamības vai reciklējamības ziņā;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6. darbībām, kas kaitē vides piesārņojuma novēršanai un kontrolei;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7. darbībām, kas kaitē bioloģiskās daudzveidības un ekosistēmu aizsardzībai un atjaunošanai, ja minētā darbība kaitē labam ekosistēmu stāvoklim un izturētspējai vai dzīvotņu un sugu, tostarp Eiropas Savienības nozīmes dzīvotņu un sugu, aizsardzības statusam;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8. darbībām Eiropas Savienības emisijas kvotu tirdzniecības sistēmas ietvaros, kas panāk tādu prognozēto siltumnīcefekta gāzu emisiju līmeni, kas nav zemāks par attiecīgajām līmeņatzīmēm."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30.1.1.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"30.1.1. pētniecības projektu atlases padomes izvērtētiem rūpnieciskiem pētījumiem atbilstoši Komisijas regulas Nr. 651/2014 2. panta 85. punktā minētajai definīcijai, par kuriem saņemts labvēlīgs aģentūras lēmums par atbilstību komercdarbības atbalsta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30.1.2.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"30.1.2. pētniecības projektu atlases padomes izvērtētām eksperimentālām izstrādēm atbilstoši Komisijas regulas Nr. 651/2014 2. panta 86. punktā minētajai definīcijai, par kurām saņemts labvēlīgs aģentūras lēmums par atbilstību komercdarbības atbalsta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30.1.3.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"30.1.3. pētniecības projektu atlases padomes izvērtētai tehniski ekonomiskai priekšizpētei pētniecības projektiem, kuru kopsumma pārsniedz 250 000 </w:t>
      </w:r>
      <w:r w:rsidR="00000000" w:rsidRPr="00000000" w:rsidDel="00000000">
        <w:rPr>
          <w:i w:val="1"/>
          <w:rtl w:val="0"/>
        </w:rPr>
        <w:t xml:space="preserve">euro</w:t>
      </w:r>
      <w:r w:rsidR="00000000" w:rsidRPr="00000000" w:rsidDel="00000000">
        <w:rPr>
          <w:rtl w:val="0"/>
        </w:rPr>
        <w:t xml:space="preserve">, atbilstoši Komisijas regulas Nr. 651/2014 2. panta 87. punktā minētajai definīcijai, par kuru saņemts labvēlīgs aģentūras lēmums par atbilstību komercdarbības atbalsta nosacījumiem. Maksimālais finansējuma apjoms nepārsniedz 300 000 </w:t>
      </w:r>
      <w:r w:rsidR="00000000" w:rsidRPr="00000000" w:rsidDel="00000000">
        <w:rPr>
          <w:i w:val="1"/>
          <w:rtl w:val="0"/>
        </w:rPr>
        <w:t xml:space="preserve">euro</w:t>
      </w:r>
      <w:r w:rsidR="00000000" w:rsidRPr="00000000" w:rsidDel="00000000">
        <w:rPr>
          <w:rtl w:val="0"/>
        </w:rPr>
        <w:t xml:space="preserve"> gadā vienam kompetences centram;".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30.2.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"30.2. kompetences centra organizētai pētniecības projektu koordinācijai, tai skaitā sadarbības veicināšanai, informācijas un zināšanu kopīgošanai, kā arī kompetences centra projekta vadības izmaksu segšanai. Finansējumu investīcijas ietvaros šajā apakšpunktā minētajām darbībām sniedz saskaņā ar Komisijas 2023. gada 13. decembra Regulu (ES) Nr. 2023/2831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Komisijas regula Nr. 2023/2831)."</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36.2.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"36.2. kompetences centra attiecināmās izmaksas. Finansējumu šajā apakšpunktā minētajām darbībām sniedz saskaņā ar Komisijas regulu Nr. 2023/2831:</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36.2.1. izmaksas šo noteikumu 30.2. apakšpunktā noteikto darbību veikšanai (kompetences centra dalības maksa iesaistei starptautiskās pētniecības un attīstības programmās, platformās un iniciatīvās, dalības maksa tīklošanās un mobilitātes pasākumiem, starptautisko projektu sagatavošanas izmaksas, lai iesaistītos starptautiskos konsorcijos, piemēram, programmas "Apvārsnis Eiropa" projektos, un citas izmaksas, kuras nodrošina sadarbību un iesaisti starptautiskos pētniecības projektos);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36.2.2. kompetences centra projekta vadības izmaksas – projekta vadības personāla atlīdzības izmaksas par projekta ietvaros veicamo darbību plānošanu, koordinēšanu un kontroli, tai skaitā arī izmaksas par projekta dokumentācijas nodrošināšanu atbilstoši Eiropas Savienības un nacionāla līmeņa tiesību aktos noteiktajām prasībām, projekta iepirkumu organizēšanas un kontroles izmaksas;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36.2.3. ārpakalpojumu iegāde – juridiskie, grāmatvedības, lietvedības, neatkarīga revidenta, iekšējā auditora un tulkošanas pakalpojumi, kas nepieciešami kompetences centru darbības nodrošināšanai."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 50.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52.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 Ja tiek sasniegti šo noteikumu 6. punktā minētie rādītāji, investīcijas ietvaros izmaksas iespējams attiecināt līdz 2027. gada 31. decembrim, ja nepieciešams, veicot grozījumus līgumā par projekta īstenošanu. Ja kompetences centram un sadarbības partnerim izmaksas rodas pēc 2027. gada 31. decembra, tās tiek segtas no saviem līdzekļiem."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Svītrot 54.1.15.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54.1.21.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"54.1.21. nodrošināt projekta ietvaros noteikto rādītāju sasniegšanu līdz 2026. gada 30. jūnijam;".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Papildināt ar 54.1.24.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"54.1.24. atmaksāt aģentūrai neieguldīto Atveseļošanas fonda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54.2.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"54.2. kompetences centra tiesības: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54.2.1. piekļūt ar pētniecības projektu īstenošanu saistītās izmaksas pamatojošo dokumentu oriģināliem un doties uz pētniecības projekta īstenošanas vietu, lai gūtu pārliecību par kompetences centrā iesniegtā pētniecības projekta atbilstību;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54.2.2. sniegt priekšlikumus viedās specializācijas ilgtermiņa stratēģijas pilnveidošanā un darbības plāna precizēšanā."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Papildināt ar 55.7.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"55.7. ne retāk kā reizi sešos mēnešos publicēt savā tīmekļvietnē un, ja iespējams, finansējuma saņēmēja tīmekļvietnē aktuālo informāciju par pētniecības projekta īstenošanas gaitu, nodrošinot informācijas un publicitātes pasākumus saskaņā ar regulas Nr. 2021/241 34. pantu un Eiropas Komisijas un Latvijas Republikas Atveseļošanas un noturības mehānisma finansēšanas nolīguma 10. pantu."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66.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 Pētniecības projektu atlases padomei investīcijas ietvaros nepieciešams: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66.1. pārliecināties, ka pētniecības projektā ir norādīta un analizēta veicamo vai jau veikto investīciju lietderība un pamatotība, kā arī komercializācijas potenciāls;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66.2. pārliecināties, ka ir norādīta pētniecības projekta atbilstība definētajai kompetences centra attīstības stratēģijai;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66.3. pārliecināties, ka pētniecības projektā definētie rādītāji ir sasniedzami noteiktajā laikā;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66.4. piesaistīt ārējo ekspertu pētniecības projekta vērtēšanā;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66.5. vērtēt pētniecības projekta pieteikuma starpposma un gala noslēguma pārskatus, balsojot par to apstiprināšanu vai noraidīšanu;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66.6. uzraudzīt, lai pētniecības projektos tiktu izpildīti noteiktie starpposmu un gala rezultātu rādītāji;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66.7. uzraudzīt, lai tiktu sasniegti šo noteikumu 12. punktā minētie kompetences centra darbības rādītāji;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66.8. ja nepieciešams, iesaistīt ekspertus pirms pētniecības projekta noslēguma maksājuma iesniegšanas aģentūrā, lai gūtu pārliecību, ka veiktie ieguldījumi ir bijuši lietderīgi un pamatoti pētniecības projekta rezultātu sasniegšanā;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66.9. pārliecināties par interešu konflikta, krāpšanas, korupcijas un dubultā finansējuma riska neesību pētniecības projektu izvērtēšanas, apstiprināšanas un īstenošanas procesā, veicot nepieciešamās darbības to novēršanā un labošanā, nodrošinot objektivitāti un vienlīdzīgu pieeju visiem pētniecības projektu pieteicējiem;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66.10. nodrošināt pētniecības projektu izvērtēšanas dokumentēšanu un caurspīdīgumu;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66.11. nodrošināt, ka pētniecības projektu izvērtēšanas procesā tiek ievērota dzimumu līdztiesība un vienlīdzīgu iespēju princips;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66.12. ievērot principu "nenodarīt būtisku kaitējumu" pētniecības projektu apstiprināšanā, lai iekļautajai darbībai nebūtu paredzamās ietekmes uz visiem vides mērķiem, vērtējot gan tiešās, gan primārās netiešās sekas visā aprites ciklā saskaņā ar regulas Nr. 2021/241 2. panta 6. punktu, vai šī ietekme būtu nebūtiska;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66.13. pamatojoties uz kompetences centra veikto izmaksu izvērtējumu, pārliecināties, ka sadarbības partnera pētniecības projekta izdevumi ir nepieciešami pētījuma rezultātu sasniegšanai;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66.14. nodrošināt, ka tiek aizpildīts eksperta individuālais vērtējums par pētniecības projektu atbilstību noteiktajiem kritērijiem, pirms vērtējuma parakstot apliecinājumu par interešu konflikta neesību. Vērtējums jāsniedz visiem, kuri ar balsstiesībām piedalās pētniecības projektu atlases padomē."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Izteikt 68.1.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"68.1. pētniecības projektu atlases padomes sēdēs pētniecības projekti tiek vērtēti, ievērojot interešu konflikta novēršanas, caurskatāmības un vienlīdzības principu, vienlaikus novēršot un labojot dubultā finansējuma iestāšanās, krāpšanas un korupcijas risku;".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Izteikt 82.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"82. Kompetences centrs un sadarbības partneris nodrošina informācijas un publicitātes pasākumus saskaņā ar regulas Nr. 2021/241 34. pantu un Eiropas Komisijas un Latvijas Republikas Atveseļošanas un noturības mehānisma finansēšanas nolīguma 10. pantu."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Papildināt ar 91.</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1</w:t>
      </w:r>
      <w:r w:rsidR="00000000" w:rsidRPr="00000000" w:rsidDel="00000000">
        <w:rPr>
          <w:rtl w:val="0"/>
        </w:rPr>
        <w:t xml:space="preserve"> Nozares ministrija sagatavo izskatīšanai Ministru kabinetā ziņojumu par investīcijas īstenošanu, kas ietver informāciju par turpmāku investīcijas uzraudzību pēc 2026. gada 31. augusta, tai skaitā par finansējuma izlietojumu, sniedzot priekšlikumus par finansējuma pārvirzīšanu nozares ministrijas atbalsta pasākumiem."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Papildināt ar 91.</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2</w:t>
      </w:r>
      <w:r w:rsidR="00000000" w:rsidRPr="00000000" w:rsidDel="00000000">
        <w:rPr>
          <w:rtl w:val="0"/>
        </w:rPr>
        <w:t xml:space="preserve"> Ja investīcijas ietvaros ir sasniegti šo noteikumu 6. punktā minētie rādītāji, bet investīcijai atvēlētais finansējums līdz 2027. gada 31. decembrim nav ieguldīts pilnā apmērā, nozares ministrija informāciju par neieguldītā finansējuma izlietojumu iekļauj šo noteikumu 91.</w:t>
      </w:r>
      <w:r w:rsidR="00000000" w:rsidRPr="00000000" w:rsidDel="00000000">
        <w:rPr>
          <w:vertAlign w:val="superscript"/>
          <w:rtl w:val="0"/>
        </w:rPr>
        <w:t xml:space="preserve">1</w:t>
      </w:r>
      <w:r w:rsidR="00000000" w:rsidRPr="00000000" w:rsidDel="00000000">
        <w:rPr>
          <w:rtl w:val="0"/>
        </w:rPr>
        <w:t xml:space="preserve"> punktā minētajā ziņojumā."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Izteikt 93.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"93. Aģentūra lēmumus par komercdarbības atbalsta piešķiršanu: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93.1. finansējuma saņēmējam var pieņemt līdz Komisijas regulas Nr. 2023/2831 7. panta 3. punktā noteiktajam termiņam;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93.2. sadarbības partnerim var pieņemt līdz Komisijas regulas Nr. 651/2014 58. panta 4. punktā noteiktajam termiņam."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Izteikt 97.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"97. Komercdarbības atbalsts, kas sniegts kompetences centriem saskaņā ar Komisijas regulu Nr. 2023/2831, tiek piešķirts ar aģentūras lēmumu. Lēmuma pieņemšanas diena ir uzskatāma par komercdarbības atbalsta piešķiršanas dienu."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Izteikt 98.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"98. Atveseļošanas fonda finansējums tiek piešķirts tikai gadījumā, ja kompetences centrs kā finansējuma saņēmējs atbilst Komisijas regulas Nr. 2023/2831 prasībām un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Izteikt 108.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"108. Šo noteikumu ietvaros finansējuma saņēmēji piešķirto </w:t>
      </w:r>
      <w:r w:rsidR="00000000" w:rsidRPr="00000000" w:rsidDel="00000000">
        <w:rPr>
          <w:i w:val="1"/>
          <w:rtl w:val="0"/>
        </w:rPr>
        <w:t xml:space="preserve">de minimis</w:t>
      </w:r>
      <w:r w:rsidR="00000000" w:rsidRPr="00000000" w:rsidDel="00000000">
        <w:rPr>
          <w:rtl w:val="0"/>
        </w:rPr>
        <w:t xml:space="preserve"> atbalstu var apvienot ar citu </w:t>
      </w:r>
      <w:r w:rsidR="00000000" w:rsidRPr="00000000" w:rsidDel="00000000">
        <w:rPr>
          <w:i w:val="1"/>
          <w:rtl w:val="0"/>
        </w:rPr>
        <w:t xml:space="preserve">de minimis</w:t>
      </w:r>
      <w:r w:rsidR="00000000" w:rsidRPr="00000000" w:rsidDel="00000000">
        <w:rPr>
          <w:rtl w:val="0"/>
        </w:rPr>
        <w:t xml:space="preserve"> atbalstu, tai skaitā par vienām un tām pašām attiecināmajām izmaksām, līdz Komisijas regulas Nr. 2023/2831 3. panta 2. punktā noteiktajam attiecīgajam robežlielumam, ja pēc atbalstu apvienošanas atbalsta vienībai vai izmaksu pozīcijai attiecīgā maksimālā atbalsta intensitāte nepārsniedz 100 %."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Izteikt 110.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"110. Atbalstu projekta iesniedzējam nepiešķir Komisijas regulas Nr. 2023/2831 1. panta 1. punktā noteiktajām nozarēm un darbībām."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Papildināt ar 110.</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1</w:t>
      </w:r>
      <w:r w:rsidR="00000000" w:rsidRPr="00000000" w:rsidDel="00000000">
        <w:rPr>
          <w:rtl w:val="0"/>
        </w:rPr>
        <w:t xml:space="preserve"> Atbalstu sadarbības partnerim nepiešķir Komisijas regulas Nr. 651/2014 1. panta 2. punkta "c" un "d" apakšpunktā un 3. punktā noteiktajām neatbalstāmajām nozarēm un darbībām."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Papildināt ar 110.</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2</w:t>
      </w:r>
      <w:r w:rsidR="00000000" w:rsidRPr="00000000" w:rsidDel="00000000">
        <w:rPr>
          <w:rtl w:val="0"/>
        </w:rPr>
        <w:t xml:space="preserve"> Atbalstu projekta iesniedzējam un sadarbības partnerim nepiešķir šādām nozarēm un darbībām: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2</w:t>
      </w:r>
      <w:r w:rsidR="00000000" w:rsidRPr="00000000" w:rsidDel="00000000">
        <w:rPr>
          <w:rtl w:val="0"/>
        </w:rPr>
        <w:t xml:space="preserve">1. ieroču un munīcijas tirdzniecībai (Saimniecisko darbību statistiskās klasifikācijas Eiropas Kopienā 2. redakcijas (turpmāk – NACE 2. red.) grupa 47.78 "Citur neklasificēta jaunu preču mazumtirdzniecība specializētajos veikalos");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2</w:t>
      </w:r>
      <w:r w:rsidR="00000000" w:rsidRPr="00000000" w:rsidDel="00000000">
        <w:rPr>
          <w:rtl w:val="0"/>
        </w:rPr>
        <w:t xml:space="preserve">2. azartspēlēm un derībām (NACE 2. red. 92. nodaļa "Azartspēles un derības");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2</w:t>
      </w:r>
      <w:r w:rsidR="00000000" w:rsidRPr="00000000" w:rsidDel="00000000">
        <w:rPr>
          <w:rtl w:val="0"/>
        </w:rPr>
        <w:t xml:space="preserve">3. tabakas izstrādājumu ražošanai un tirdzniecībai (NACE 2. red. 12. nodaļa "Tabakas izstrādājumu ražošana", grupa 46.35 "Tabakas izstrādājumu vairumtirdzniecība" un grupa 47.26 "Tabakas izstrādājumu mazumtirdzniecība specializētajos veikalos");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2</w:t>
      </w:r>
      <w:r w:rsidR="00000000" w:rsidRPr="00000000" w:rsidDel="00000000">
        <w:rPr>
          <w:rtl w:val="0"/>
        </w:rPr>
        <w:t xml:space="preserve">4. alkohola tirdzniecībai (NACE 2. red. grupa 46.34 "Dzērienu vairumtirdzniecība" un grupa 47.25 "Alkoholisko un citu dzērienu mazumtirdzniecība specializētajos veikalos");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2</w:t>
      </w:r>
      <w:r w:rsidR="00000000" w:rsidRPr="00000000" w:rsidDel="00000000">
        <w:rPr>
          <w:rtl w:val="0"/>
        </w:rPr>
        <w:t xml:space="preserve">5. operācijām ar nekustamo īpašumu (NACE 2. red. L sadaļa "Operācijas ar nekustamo īpašumu", grupa 68.1 "Sava nekustama īpašuma pirkšana un pārdošana" un grupa 68.31 "Starpniecība darbībā ar nekustamo īpašumu");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2</w:t>
      </w:r>
      <w:r w:rsidR="00000000" w:rsidRPr="00000000" w:rsidDel="00000000">
        <w:rPr>
          <w:rtl w:val="0"/>
        </w:rPr>
        <w:t xml:space="preserve">6. atkritumu savākšanai, apstrādei un izvietošanai, materiālu pārstrādei (NACE 2. red. grupa 38.21 "Atkritumu apstrāde un izvietošana (izņemot bīstamos atkritumus)" un grupa 38.22 "Bīstamo atkritumu apstrāde un izvietošana")."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Izteikt 111.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"111. Ja projekta iesniedzējs vai sadarbības partneris vienlaikus darbojas šajos noteikumos norādītajās atbalstāmajās un neatbalstāmajās nozarēs, komercdarbības atbalstu drīkst piešķirt tikai tad, ja tiek skaidri nodalītas darbības un finanšu plūsmas atbalstāmās nozarēs, nodrošinot, ka darbības neatbalstāmajās nozarēs negūst labumu no komercdarbības atbalsta šādos gadījumos: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111.1. ja projekta iesniedzējs darbojas kādā no neatbalstāmajām nozarēm, kas minētas Komisijas regulas Nr. 2023/2831 1. panta 1. punkta "a", "b", "c" vai "d" apakšpunktā vai šo noteikumu 110.</w:t>
      </w:r>
      <w:r w:rsidR="00000000" w:rsidRPr="00000000" w:rsidDel="00000000">
        <w:rPr>
          <w:vertAlign w:val="superscript"/>
          <w:rtl w:val="0"/>
        </w:rPr>
        <w:t xml:space="preserve">2</w:t>
      </w:r>
      <w:r w:rsidR="00000000" w:rsidRPr="00000000" w:rsidDel="00000000">
        <w:rPr>
          <w:rtl w:val="0"/>
        </w:rPr>
        <w:t xml:space="preserve"> punktā;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111.2. ja sadarbības partneris darbojas kādā no neatbalstāmajām nozarēm, kas minētas Komisijas regulas Nr. 651/2014 1. panta 3. punkta "a", "b" vai "c" apakšpunktā vai šo noteikumu 110.</w:t>
      </w:r>
      <w:r w:rsidR="00000000" w:rsidRPr="00000000" w:rsidDel="00000000">
        <w:rPr>
          <w:vertAlign w:val="superscript"/>
          <w:rtl w:val="0"/>
        </w:rPr>
        <w:t xml:space="preserve">2</w:t>
      </w:r>
      <w:r w:rsidR="00000000" w:rsidRPr="00000000" w:rsidDel="00000000">
        <w:rPr>
          <w:rtl w:val="0"/>
        </w:rPr>
        <w:t xml:space="preserve"> 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Izteikt 112.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"112. Pirms komercdarbības atbalsta sniegšanas saskaņā ar Komisijas regulu Nr. 2023/2831 aģentūra pārliecinās, vai finansējuma saņēmēja plānotais </w:t>
      </w:r>
      <w:r w:rsidR="00000000" w:rsidRPr="00000000" w:rsidDel="00000000">
        <w:rPr>
          <w:i w:val="1"/>
          <w:rtl w:val="0"/>
        </w:rPr>
        <w:t xml:space="preserve">de minimis</w:t>
      </w:r>
      <w:r w:rsidR="00000000" w:rsidRPr="00000000" w:rsidDel="00000000">
        <w:rPr>
          <w:rtl w:val="0"/>
        </w:rPr>
        <w:t xml:space="preserve"> atbalsts kopā ar iepriekšējos trijos gados, skaitot no atbalsta piešķiršanas dienas, piešķirto </w:t>
      </w:r>
      <w:r w:rsidR="00000000" w:rsidRPr="00000000" w:rsidDel="00000000">
        <w:rPr>
          <w:i w:val="1"/>
          <w:rtl w:val="0"/>
        </w:rPr>
        <w:t xml:space="preserve">de minimis</w:t>
      </w:r>
      <w:r w:rsidR="00000000" w:rsidRPr="00000000" w:rsidDel="00000000">
        <w:rPr>
          <w:rtl w:val="0"/>
        </w:rPr>
        <w:t xml:space="preserve"> atbalstu viena vienota uzņēmuma līmenī nepārsniegs Komisijas regulas Nr. 2023/2831 3. panta 2. punktā noteikto maksimālo </w:t>
      </w:r>
      <w:r w:rsidR="00000000" w:rsidRPr="00000000" w:rsidDel="00000000">
        <w:rPr>
          <w:i w:val="1"/>
          <w:rtl w:val="0"/>
        </w:rPr>
        <w:t xml:space="preserve">de minimis</w:t>
      </w:r>
      <w:r w:rsidR="00000000" w:rsidRPr="00000000" w:rsidDel="00000000">
        <w:rPr>
          <w:rtl w:val="0"/>
        </w:rPr>
        <w:t xml:space="preserve"> atbalsta apmēru. Finansējuma limits vienam finansējuma saņēmējam tiek vērtēts viena vienota komersanta līmenī atbilstoši Komisijas regulas Nr. 2023/2831 2. panta 2. punktam. Sniedzot atbalstu sadarbības partnerim, ievēro Komisijas regulas Nr. 651/2014 1. panta 2. punkta "c" un "d" apakšpunktā, 4. punkta "a" apakšpunktā un 4. panta 1. punkta "i" apakšpunktā noteiktos ierobežojumus."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Izteikt 115.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"115. Ja tiek pārkāpti Komisijas regulas Nr. 2023/2831 nosacījumi, Atveseļošanas fonda finansējuma saņēmējam ir pienākums atmaksāt aģentūrai projekta ietvaros piešķirto nelikumīgo </w:t>
      </w:r>
      <w:r w:rsidR="00000000" w:rsidRPr="00000000" w:rsidDel="00000000">
        <w:rPr>
          <w:i w:val="1"/>
          <w:rtl w:val="0"/>
        </w:rPr>
        <w:t xml:space="preserve">de minimis </w:t>
      </w:r>
      <w:r w:rsidR="00000000" w:rsidRPr="00000000" w:rsidDel="00000000">
        <w:rPr>
          <w:rtl w:val="0"/>
        </w:rPr>
        <w:t xml:space="preserve">atbalstu kopā ar procentiem no līdzekļiem, kas ir brīvi no komercdarbības atbalsta, atbilstoši Komercdarbības atbalsta kontroles likuma IV vai V nodaļas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Izteikt 116.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"116. Ja attiecībā uz sadarbības partnerim piešķirto atbalstu tiek pārkāpti Komisijas regulas Nr. 651/2014 nosacījumi, Atveseļošanas fonda finansējuma saņēmējam ir pienākums atmaksāt aģentūrai nelikumīgo projekta ietvaros saņemto komercdarbības atbalstu kopā ar procentiem no līdzekļiem, kas ir brīvi no komercdarbības atbalsta, atbilstoši Komercdarbības atbalsta kontroles likuma IV vai V nodaļas nosacījumiem. Finansējuma saņēmējam ir tiesības no sadarbības partnera saņemt kompensāciju atmaksātā nelikumīgā atbalsta (kopā ar procentiem)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Izteikt 118.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"118. Informācijas pieejamību un dokumentu glabāšanu nodrošina šādā veidā: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118.1. finansējuma saņēmējs nodrošina informācijas pieejamību un dokumentu glabāšanu 10 gadus, sākot no dienas, kad ir piešķirts pēdējais komercdarbības atbalsts sadarbības partnerim;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118.2. sadarbības partneris nodrošina informācijas pieejamību un dokumentu glabāšanu 10 gadus, sākot no komercdarbības atbalsta piešķiršanas brīža;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118.3. aģentūra nodrošina informācijas pieejamību un dokumentu glabāšanu 10 gadus, sākot no dienas, kad ir piešķirts pēdējais komercdarbības atbalsts saskaņā ar komercdarbības atbalsta programmu;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118.4. nozares ministrija nodrošina informācijas pieejamību un dokumentu glabāšanu 10 gadus, sākot no dienas, kad piešķirts pēdējais komercdarbības atbalsts saskaņā ar komercdarbības atbalsta programmu."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Ekonomikas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Valainis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24-TA-204</w:t>
    </w:r>
    <w:r>
      <w:br/>
    </w:r>
    <w:r w:rsidR="00000000" w:rsidRPr="00000000" w:rsidDel="00000000">
      <w:rPr>
        <w:rtl w:val="0"/>
      </w:rPr>
      <w:t xml:space="preserve">Izdrukāts 29.07.2026. 22.13 - 1.0.VK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24-TA-204</w:t>
    </w:r>
    <w:r>
      <w:br/>
    </w:r>
    <w:r w:rsidR="00000000" w:rsidRPr="00000000" w:rsidDel="00000000">
      <w:rPr>
        <w:rtl w:val="0"/>
      </w:rPr>
      <w:t xml:space="preserve">Izdrukāts 29.07.2026. 22.13 - 1.0.VK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noteikumu_(grozījumu)_projekts_24-TA-204.docx</dc:title>
</cp:coreProperties>
</file>

<file path=docProps/custom.xml><?xml version="1.0" encoding="utf-8"?>
<Properties xmlns="http://schemas.openxmlformats.org/officeDocument/2006/custom-properties" xmlns:vt="http://schemas.openxmlformats.org/officeDocument/2006/docPropsVTypes"/>
</file>