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 komponentes "Ekonomikas transformācija un produktivitātes reforma"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atlases pētniecības projektu (turpmāk – pētniecības projekts) vērtēšanas posmos, ieskaitot pētniecības projektu izskatīšanu, starpposmu un gala nodevumu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pētniecības projektu likuma "Par interešu konflikta novēršanu valsts amatpersonu darbībā" izpratnē un Regulas (ES) Nr. 2018/1046[1]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pētniecības projektu atlases padomes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pētniecības projektus,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EIROPAS PARLAMENTA UN PADOMES REGULA (ES, </w:t>
      </w:r>
      <w:r w:rsidR="00000000" w:rsidRPr="00000000" w:rsidDel="00000000">
        <w:rPr>
          <w:i w:val="1"/>
          <w:rtl w:val="0"/>
        </w:rPr>
        <w:t xml:space="preserve">Euratom</w:t>
      </w:r>
      <w:r w:rsidR="00000000" w:rsidRPr="00000000" w:rsidDel="00000000">
        <w:rPr>
          <w:rtl w:val="0"/>
        </w:rPr>
        <w:t xml:space="preserve">)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noteikumu_(grozījumu)_projekts_p_24-TA-204.docx</dc:title>
</cp:coreProperties>
</file>

<file path=docProps/custom.xml><?xml version="1.0" encoding="utf-8"?>
<Properties xmlns="http://schemas.openxmlformats.org/officeDocument/2006/custom-properties" xmlns:vt="http://schemas.openxmlformats.org/officeDocument/2006/docPropsVTypes"/>
</file>