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augustā (prot. Nr. 40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3 382 392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Iekšlietu ministrijas budžeta apakšprogrammu 02.03.00 "Vienotās sakaru un informācijas sistēmas uzturēšana un vadība", lai prioritārā pasākuma "Kiberdrošības stiprināšana" ietvaros segtu izdevumus, kas saistīti ar datortehnikas un tīkla drošības iekārtu nomaiņu kiberdraudu mazināšanai iekšlietu resorā.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23-TA-1818</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23-TA-1818</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rīkojuma_projekts_23-TA-1818.docx</dc:title>
</cp:coreProperties>
</file>

<file path=docProps/custom.xml><?xml version="1.0" encoding="utf-8"?>
<Properties xmlns="http://schemas.openxmlformats.org/officeDocument/2006/custom-properties" xmlns:vt="http://schemas.openxmlformats.org/officeDocument/2006/docPropsVTypes"/>
</file>