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jūnijā (prot. Nr. 24 81.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29. novembra rīkojumā Nr. 849 "Par valsts līdzdalības saglabāšanu akciju sabiedrībā "Air Baltic Corporation" un vispārējo stratēģisko mērķi"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2022. gada 29. novembra rīkojumā Nr. 849 "Par valsts līdzdalības saglabāšanu akciju sabiedrībā "Air Baltic Corporation" un vispārējo stratēģisko mērķi" (Latvijas Vēstnesis, 2022, 233. nr.) šādu grozījumu: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Noteikt akciju sabiedrības "Air Baltic Corporation" vispārējo stratēģisko mērķi – darbojoties pēc komerciāliem un ilgtspējīgiem principiem, nodrošināt aviosabiedrības konkurētspēju un pelnītspēju, kā arī, nodrošinot pasažieru un kravu aviopārvadājumus, veicināt Latvijas starptautisko sasniedzamību un Rīgas kā nozīmīga Ziemeļeiropas gaisa satiksmes centra attīstību."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25-TA-995</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25-TA-995</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rīkojuma_projekts_25-TA-995.docx</dc:title>
</cp:coreProperties>
</file>

<file path=docProps/custom.xml><?xml version="1.0" encoding="utf-8"?>
<Properties xmlns="http://schemas.openxmlformats.org/officeDocument/2006/custom-properties" xmlns:vt="http://schemas.openxmlformats.org/officeDocument/2006/docPropsVTypes"/>
</file>