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Būvniecības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Būvniecības likumā (Latvijas Vēstnesis, 2013, 146. nr.; 2014, 21., 84., 140. nr.; 2015, 122., 251. nr.; 2016, 241. nr.; 2017, 128. nr.; 2019, 41., 248.A nr.; 2020, 244. nr.; 2021, 84.B, 160.A nr.; 2022, 95., 247. nr.; 2023, 91.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ģeotehniskā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piektajā daļā skaitli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Patstāvīgās prakses tiesības būvniecības jomā reglamentētā profesijā šā panta trešās daļas 1. punktā minētajā specialitātē var iegūt persona,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ieguvusi augstāko izglītību ģeoloģijas vai ģeotehnikas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apguvusi patstāvīgai praksei nepieciešamās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noteiktajā kārtībā saņēmusi būvprakses sertifikātu.".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daļu papildināt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derīga termiņš ir pieci gadi. Tehnisko noteikumu derīga termiņa ietvaros tehnisko noteikumu izdevēji nav tiesīgi mainīt iepriekš izvirzītās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septītajā daļā aiz vārdiem "informatīvs raksturs" ar vārdiem “un Būvvaldei vai institūcijai, kura pilda būvvaldes funkcijas, nav pienākums pārbaudīt šī informatīvā pasākuma izpildi. Būvtāfeles neesamība pati par sevi nav uzskatāma par pietiekamu pamatu būvvaldes lēmuma apstrīdēšanas termiņa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Paskaidrojuma raksta akceptu, atteikumu akceptēt paskaidrojuma rakstu, atzīmi par projektēšanas nosacījumu izpildi vai atteikumu izdarīt atzīmi par projektēšanas nosacījumu izpildi var apstrīdēt vai pārsūdzēt Administratīvā procesa likumā noteiktajā kārtībā mēneša laikā no tā spēkā stāšanās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w:t>
      </w:r>
      <w:r w:rsidR="00000000" w:rsidRPr="00000000" w:rsidDel="00000000">
        <w:rPr>
          <w:b w:val="1"/>
          <w:vertAlign w:val="superscript"/>
          <w:rtl w:val="0"/>
        </w:rPr>
        <w:t xml:space="preserve">2 </w:t>
      </w:r>
      <w:r w:rsidR="00000000" w:rsidRPr="00000000" w:rsidDel="00000000">
        <w:rPr>
          <w:b w:val="1"/>
          <w:rtl w:val="0"/>
        </w:rPr>
        <w:t xml:space="preserve">pants. Būvniecības ieceres publiska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ieceres publiskas apspriešanas mērķis ir noskaidrot sabiedrības viedokli par plānoto būvniecības ieceri, lai nodrošinātu attiecīgās ieceres tehnisko risinājumu labāku iekļaušanos esošajā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ieceres publiskās apspriešanas ietvaros nav pārvērtējami tie jautājumi, par kuriem sabiedrībai bija iespēja izteikties ietekmes uz vidi novērtējuma, stratēģiskā novērtējuma, pašvaldības teritorijas plānojuma, lokālplānojuma vai detālplānojuma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saistošajos noteikumos var paredzēt gadījumus, kad rīkojama būvniecības ieceres publiska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 apspriešanu nerīko,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teritorijai, kurā paredzēta būve, ir spēkā esošs lokālplānojums vai detālplānojums;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būvdarbu veikšanai ir nepieciešams paskaidrojuma 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būvniecības ierosinātājs ir Aizsardzības ministrija, tās padotības iestāde vai 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apspriešanas rezultātus var izmantot, lai ietvertu būvatļaujā papildu nosacījumus, kas attiecas uz iepriekš būves iekļaušanos esošajā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būvatļauja izdota, pārkāpjot šī panta noteikumus, augstāka iestāde vai tiesa, izlemjot jautājumu par apstrīdētās vai pārsūdzētās būvatļaujas tiesiskumu, izvērtē, vai pārkāpums ir tik būtisks, ka būvatļauja atceļama, un it īpaši pārbauda to, vai nav pārkāptas sabiedrības līdzdalības tiesības lēmumu pieņemšanā.”.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Projektēšanas nosacījumu izpildes laikā attiecībā uz būvniecības ieceri piemēro pašvaldības teritorijas plānojumā, lokālplānojumā (ja tāds ir izstrādāts) vai detālplānojumā (ja tas nepieciešams saskaņā ar normatīvajiem aktiem) noteiktās prasības, kas bija spēkā būvatļaujas izdošanas brīdī, izņemot gadījumā, ja spēkā esošais regulējums ir labvēlīgāks būvniecības ierosinātājam un tas vēlas piemērot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6</w:t>
      </w:r>
      <w:r w:rsidR="00000000" w:rsidRPr="00000000" w:rsidDel="00000000">
        <w:rPr>
          <w:rtl w:val="0"/>
        </w:rPr>
        <w:t xml:space="preserve">) Būvniecības ieceres izmaiņu gadījumā attiecībā uz izmaiņām piemēro pašvaldības teritorijas plānojumā, lokālplānojumā (ja tāds ir izstrādāts) vai detālplānojumā (ja tas nepieciešams saskaņā ar normatīvajiem aktiem) noteiktās prasības, kas bija spēkā būvatļaujas izdošanas vai paskaidrojuma raksta akcepta brīdī, izņemot gadījumā, ja spēkā esošais regulējums ir labvēlīgāks būvniecības ierosinātājam un tas vēlas piemērot spēkā esošo regulējumu.”.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18. panta otrās daļas otro teikumu aiz vārdiem "normatīvajiem aktiem" ar vārdiem "vai kas neatbilst pašvaldības teritorijas apbūves noteikumiem.".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Patvaļīgas būvniecības radīto seko novēršana ir uzskatāma par nepieciešamo vajadzību Civillikuma 1068. panta trešās daļas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likumu ar 19.</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19.</w:t>
      </w:r>
      <w:r w:rsidR="00000000" w:rsidRPr="00000000" w:rsidDel="00000000">
        <w:rPr>
          <w:b w:val="1"/>
          <w:vertAlign w:val="superscript"/>
          <w:rtl w:val="0"/>
        </w:rPr>
        <w:t xml:space="preserve">4</w:t>
      </w:r>
      <w:r w:rsidR="00000000" w:rsidRPr="00000000" w:rsidDel="00000000">
        <w:rPr>
          <w:b w:val="1"/>
          <w:rtl w:val="0"/>
        </w:rPr>
        <w:t xml:space="preserve"> pants. Atbildība par pazemes ārējiem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procesa dalībnieki nenes atbildību pret pazemes ārējo inženiertīklu īpašnieku vai valdītāju, ja būvdarbu laikā pazemes ārējām inženiertīklam ir nodarīti jebkādi bojājumi sakarā ar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neatrodas vietā vai dziļumā, kurā tas bija norādīts paša pazemes ārējo inženiertīklu īpašnieku vai valdītāju saskaņotajā augstas detalizācijas topogrāfisku informācijā par attiecīgā inženiertīkla atrašanos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Apgrūtināto teritoriju informācijas sistēmas datiem attiecīgajam inženiertīklam bija jābūt citā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atrašanā vieta nebija zināma.”.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21.pantu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Kopīpašumā esošās būves nodošanu ekspluatācijā var ierosināt, ja saņemta kopīpašnieku vairākuma piekrišana. Kopīpašnieku vairākumu nosaka atbilstoši kopīpašuma daļu apmēram.”.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likumu ar 21.</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1</w:t>
      </w:r>
      <w:r w:rsidR="00000000" w:rsidRPr="00000000" w:rsidDel="00000000">
        <w:rPr>
          <w:b w:val="1"/>
          <w:rtl w:val="0"/>
        </w:rPr>
        <w:t xml:space="preserve"> pants. Kopīgas infrastruktūras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Kopīgas infrastruktūras objekti ir daudzdzīvokļu dzīvojamās ēkas būvprojektā atsevišķā kopīgas infrastruktūras objektu plānā norādītas būves vai zemes vienības daļas, kuras ir koplietojamas ar citu nākotnes daudzdzīvokļu ēku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lietot kopīgas infrastruktūras objektus tiek nodibinātas ar attiecīgā objekta nodošanu ekspluatācijā un atbilstošo datu reģistrāciju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lietot kopīgas infrastruktūras objektu izbeidzas, ja par to ir vienojušies šo objektu lietojošo dzīvokļu īpašnieku kopības. Pamatojoties uz šo vienošanos, jebkura no šīs vienošanās pusēm var prasīt Nekustamā īpašuma valsts kadastra informācijas sistēmas datu aktualizāciju, noņemot pazīmi no būvēm vai zemes vienības daļām par to koplietošanu.”.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24-TA-2288</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24-TA-2288</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likumprojekts_(grozījumi)_24-TA-2288.docx</dc:title>
</cp:coreProperties>
</file>

<file path=docProps/custom.xml><?xml version="1.0" encoding="utf-8"?>
<Properties xmlns="http://schemas.openxmlformats.org/officeDocument/2006/custom-properties" xmlns:vt="http://schemas.openxmlformats.org/officeDocument/2006/docPropsVTypes"/>
</file>