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2007. gada 27. novembra noteikumos Nr. 800 "Izmeklēšanas cietuma iekšējās kārtības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Apcietinājumā turēšanas kārtības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4.panta otro daļu, 10.panta pirmo daļu un 25.panta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2007. gada 27. novembra noteikumos Nr. 800 "Izmeklēšanas cietuma iekšējās kārtības noteikumi" (Latvijas Vēstnesis, 2007, 193. nr.; 2009, 121. nr.; 2011, 176. nr.; 2024, 158. nr.; 2025, 180.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Ja apcietinātajam nav mantinieku vai likumā noteiktajā termiņā pēc mantojuma atklāšanās viņi nav pieteikušies vai apliecinājuši savas mantojuma tiesības, tad, pamatojoties uz procesa virzītāja norādījumiem, naudu no izmeklēšanas cietuma depozītu konta Valsts kasē pārskaita valsts budžetā, bet dārgmetālus, dārgakmeņus un to izstrādājumus nodod realizēšanai valsts akciju sabiedrībai "Valsts nekustamie īpašumi". Par pārējo mantu sastāda aktu un mantu iznīcina."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25-TA-2474</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25-TA-2474</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noteikumu_(grozījumu)_projekts_25-TA-2474.docx</dc:title>
</cp:coreProperties>
</file>

<file path=docProps/custom.xml><?xml version="1.0" encoding="utf-8"?>
<Properties xmlns="http://schemas.openxmlformats.org/officeDocument/2006/custom-properties" xmlns:vt="http://schemas.openxmlformats.org/officeDocument/2006/docPropsVTypes"/>
</file>