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aprīlī (prot. Nr. 22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kas nepārsniedz 1 050 000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42.06.00 "Valsts izglītības satura centra darbības nodrošināšana", lai, pamatojoties uz Ukrainas civiliedzīvotāju atbalsta likumu, līdz 2023. gada 31. decembrim sniegtu atbalstu neformālās izglītības pasākumu nodrošināšanai, tajā skaitā latviešu valodas apguvei.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apropriācijas pārdali atbilstoši faktiski nepieciešamajam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23-TA-543</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23-TA-543</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rīkojuma_projekts_23-TA-543.docx</dc:title>
</cp:coreProperties>
</file>

<file path=docProps/custom.xml><?xml version="1.0" encoding="utf-8"?>
<Properties xmlns="http://schemas.openxmlformats.org/officeDocument/2006/custom-properties" xmlns:vt="http://schemas.openxmlformats.org/officeDocument/2006/docPropsVTypes"/>
</file>