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konstruktīvo elementu tehniskā stāvokļa vizuālais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6838"/>
        <w:tblGridChange w:id="0">
          <w:tblGrid>
            <w:gridCol w:w="802"/>
            <w:gridCol w:w="1760"/>
            <w:gridCol w:w="68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Konstruktīvajam elementam nav redzamu bojājumu (piemēram, nav plaisu, atšķēlumu, trupes, korozijas).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konstruktīvā elementa virsmas laukumā nav redzami nevienā ēkas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nenozīmīgi bojājumi atsevišķās konstruktīvā elementa daļās (piemēram, ir iedobumi, robi, nenozīmīgas plaisas, daļēji bojāta antikorozijas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līdz 10 % no konstruktīvā elementa virsmas laukuma vai ir redzami vismaz 5 % ēkas telpu grupu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bojājumi (piemēram, caurumi vai caurejošas plaisas, dzelzsbetona konstrukcijām atsegta armatūra, trupes bojājumi un sīkplaisas koksnes virskārtā, jumta segumā lokšņu fragmentu atšķēlumi, virsmas uzpūtumi, atsevišķu ieseguma elementu iztrūkums). Konstruktīvajam elementam nav atjaunotas bojātās konstrukcijas, bet ieiešana ēkas telpās ir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11 %–50 % no konstruktīvā elementa virsmas laukuma vai ir redzami vismaz 10 % ēkas telpu grupu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bojājumi (piemēram, apjomīgi sienu, grīdas izspiedumi un virsmas līniju izliekumi, masveidīgs mūra sienu plaisu tīklojums, būvprojektā neparedzēta mūra sienu novirze no vertikāles pārsniedz 50 % sienas biezuma, ir ierīkoti pagaidu balsti, jumta seguma virsmas plaisas un masveida caurtecējumi).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51 %–81 % no konstruktīvā elementa virsmas laukuma vai ir redzami vairāk nekā 10 % ēkas telpu grupu telpu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Konstruktīvais elements daļēji sabrucis vai sagruvis, vai pilnībā satrunējis, bet vēl eksistē</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noteikumu_konsolidētā_versija_p3_23-TA-3200.docx</dc:title>
</cp:coreProperties>
</file>

<file path=docProps/custom.xml><?xml version="1.0" encoding="utf-8"?>
<Properties xmlns="http://schemas.openxmlformats.org/officeDocument/2006/custom-properties" xmlns:vt="http://schemas.openxmlformats.org/officeDocument/2006/docPropsVTypes"/>
</file>