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 gadam 3.1. prioritātes "Ilgtspējīga TEN-T infrastruktūra" 3.1.1. specifiskā atbalsta mērķa "Attīstīt ilgtspējīgu, pret klimatu izturīgu, inteliģentu, drošu un vairākveidu TEN-T infrastruktūru"  3.1.1.3. pasākuma "Eiropas transporta tīklā esošās dzelzceļa infrastruktūras attīstība" pirmās projektu iesniegumu atlases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veikt projektu Nr.6.2.1.2/21/I/001 “Dzelzceļa pasažieru infrastruktūras modernizācija” un Nr.6.2.1.2/22/I/002 “Dzelzceļa infrastruktūras modernizācija vilcienu kustības ātruma paaugstināšanai” īstenošanai nepieciešamo Kohēzijas fonda  finansējuma 52 395 743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pārdali no Eiropas Savienības kohēzijas politikas programmas 2021.–2027.gadam (turpmāk - Programma) 3.1.1.2.pasākuma “Valsts galveno autoceļu TEN-T tīklā attīstība” pirms pozitīva Eiropas Komisijas lēmuma par Programmas grozījumiem.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informēt Ministru kabinetu par priekšlikumiem rīcībai gadījumā, ja netiek saņemts pozitīvs Eiropas Komisijas lēmums par Programmas grozījumiem.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24-TA-1687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