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23-TA-2042</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31.07.2023.</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47</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Valsts prezidenta kancelejai</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vienreizējas kompensācijas piešķiršanu</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saņēmis Valsts prezidenta 2023. gada 31. jūlija vēstuli Nr. 47, kurā lūgts Ministru kabinetam risināt jautājumu par vienreizējas kompensācijas piešķiršanu Jēkabpils slepkavības lietā nogalinātās sievietes nepilngadīgajiem bērniem.</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Šā gada 16. aprīlī Jēkabpilī notikušajā traģēdijā dzīvību zaudēja cilvēks, kurš valsts aizsardzību nesagaidīja. Tādējādi, pildot tiesiskas valsts pienākumu, Ministru kabinets 2023. gada 15. augusta sēdē (prot. Nr. 40 35. §) ir lēmis par vienreizējas ārkārtējas kompensācijas piešķiršanu 2023. gada 16. aprīlī Jēkabpilī bojāgājušās sievietes diviem nepilngadīgajiem bērniem un mātei – 50 000 </w:t>
      </w:r>
      <w:r w:rsidR="00000000" w:rsidRPr="00000000" w:rsidDel="00000000">
        <w:rPr>
          <w:i w:val="1"/>
          <w:rtl w:val="0"/>
        </w:rPr>
        <w:t xml:space="preserve">euro </w:t>
      </w:r>
      <w:r w:rsidR="00000000" w:rsidRPr="00000000" w:rsidDel="00000000">
        <w:rPr>
          <w:rtl w:val="0"/>
        </w:rPr>
        <w:t xml:space="preserve">apmērā katram, lai sniegtu nepieciešamo valsts atbalstu traģēdijā cietušajiem.</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Pateicamies par Valsts prezidenta izrādīto iniciatīvu, rosinot lemt par vienreizējas ārkārtējas kompensācijas piešķiršanu par kaitējumu, ko nodarījusi valsts nespēja izpildīt savu pienākumu un aizsargāt cilvēka dzīvību. Ministru kabinets ar attiecīga lēmuma pieņemšanu ir uzņēmies līdzatbildību situācijā, kad valsts varas atzari, tostarp izmeklēšanas iestādes, par likumības uzraudzību un kriminālvajāšanu atbildīgās iestādes un tiesu vara, nav spējuši nosargāt cilvēku no apdraudējuma, par kuru valsts institūcijas bija informētas.</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Papildus informējam, ka šā gada 26. maijā tika sasaukta Noziedzības novēršanas padomes sēde, lai risinātu jautājumus, kā mērķtiecīgi mazināt vardarbību sabiedrībā un uzlabot atbildīgo institūciju izpratni, reaģēšanu un koordināciju, kā nodrošināt, lai vardarbības upuri laikus saņem nepieciešamo palīdzību, skaidri zinātu, kur vērsties pēc atbalsta, un būtu pieejama infrastruktūra, droša vide un patvērums no varmākas. Padome un tās darbā pieaicinātās institūcijas, tajā skaitā sabiedriskās organizācijas, vienojās, ka ir veicama pirmstiesas izmeklēšanā un iztiesāšanā iesaistīto personu visaptveroša un nepārtraukta izglītošana par to, kā novērst vardarbību pret sievietēm un vardarbību ģimenē, pilnveidojami starpinstitucionālās sadarbības mehānismi gan iestāžu un ministriju līmenī, gan pirmstiesas un iztiesāšanas procesā, izstrādājams vardarbības pret sievietēm un vardarbības ģimenē novēršanas un apkarošanas pasākumu plāns 2024.–2029. gadam un veicami citi pasākumi. Atbildīgajām institūcijām uzdots līdz šā gada 1. novembrim ziņot Noziedzības novēršanas padomei par paveikto minēto uzdevumu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23-TA-2042</w:t>
    </w:r>
    <w:r>
      <w:br/>
    </w:r>
    <w:r w:rsidR="00000000" w:rsidRPr="00000000" w:rsidDel="00000000">
      <w:rPr>
        <w:rtl w:val="0"/>
      </w:rPr>
      <w:t xml:space="preserve">Izdrukāts 29.07.2026. 21.35 - 1.0.VK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23-TA-2042</w:t>
    </w:r>
    <w:r>
      <w:br/>
    </w:r>
    <w:r w:rsidR="00000000" w:rsidRPr="00000000" w:rsidDel="00000000">
      <w:rPr>
        <w:rtl w:val="0"/>
      </w:rPr>
      <w:t xml:space="preserve">Izdrukāts 29.07.2026. 21.35 - 1.0.VK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mk_vēstules_projekts_23-TA-2042.docx</dc:title>
</cp:coreProperties>
</file>

<file path=docProps/custom.xml><?xml version="1.0" encoding="utf-8"?>
<Properties xmlns="http://schemas.openxmlformats.org/officeDocument/2006/custom-properties" xmlns:vt="http://schemas.openxmlformats.org/officeDocument/2006/docPropsVTypes"/>
</file>