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 2021.–2027.gadam 4.2. prioritārā virziena “Atbalsts uzņēmējdarbībai” 4.2.4. specifikā atbalsta mērķa “Veicināt mūžizglītību, jo īpaši paredzot elastīgas kvalifikācijas paaugstināšanas un pārkvalificēšanās iespējas visiem, ņemot vērā digitālās prasmes, labāk paredzot pārmaiņas un jaunas prasības pēc prasmēm, kas balstītas  uz darba tirgus vajadzībām, atvieglojot karjeras maiņu un sekmējot profesionālo mobilitāti” 4.2.4.1. pasākuma "Atbalsts nozaru vajadzībās balstītai uzņēmēju izglītībai"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4.2.4. specifikā atbalsta mērķa “Veicināt mūžizglītību, jo īpaši paredzot elastīgas kvalifikācijas paaugstināšanas un pārkvalificēšanās iespējas visiem, ņemot vērā digitālās prasmes, labāk paredzot pārmaiņas un jaunas prasības pēc prasmēm, kas balstītas  uz darba tirgus vajadzībām, atvieglojot karjeras maiņu un sekmējot profesionālo mobilitāti” 4.2.4.1. pasākuma "Atbalsts nozaru vajadzībās balstītai uzņēmēju izglītībai"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iesniegumu vērtēšanas un projektu iesniegumu atlases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atbalsta saņemšanu saistītos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vidējie un lielie komersanti – komersanti, kas atbilst Komisijas 2014. gada 17. jūnija Regulas (ES) Nr. 651/2014, ar ko noteiktas atbalsta kategorijas atzīst par saderīgām ar iekšējo tirgu, piemērojot Līguma 107. un 108. pantu (turpmāk – Komisijas regula Nr. 651/2014) I pielikuma 2. panta 1.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vienots uzņēmums – uzņēmums, kas atbilst Eiropas Komisijas 2013. gada 18. decembra Regulas Nr. 1407/2013 par Līguma par Eiropas Savienības darbību 107. un 108.panta piemērošanu </w:t>
      </w:r>
      <w:r w:rsidR="00000000" w:rsidRPr="00000000" w:rsidDel="00000000">
        <w:rPr>
          <w:i w:val="1"/>
          <w:rtl w:val="0"/>
        </w:rPr>
        <w:t xml:space="preserve">de minimis</w:t>
      </w:r>
      <w:r w:rsidR="00000000" w:rsidRPr="00000000" w:rsidDel="00000000">
        <w:rPr>
          <w:rtl w:val="0"/>
        </w:rPr>
        <w:t xml:space="preserve"> atbalstam (turpmāk – regula Nr. 1407/2013) 2. panta 2.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tiešsaistes apmācību kursi – plašpieejas tiešsaistes apmācību kursi, kas sniedz iespēju iegūt neformālu izglītību, neatkarīgi no ģeogrāfiskās lokācijas, šie kursi piedāvā brīvu piekļuvi un var uzturēt praktiski neierobežotu dalībnieku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 pasākuma projekta iesniedzējs, kas saņēmis lēmumu par aptiprināšanu vai atzinumu par nosacījumu izpildi un noslēdzis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atbalstu nodarbināto prasmju pilnveidošanai, lai sekmētu  tehnoloģisko inovāciju ieviešanu un darba spēka produktivitātes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Latvijas Republikā reģistrēti saimnieciskās darbības veicēji, sīkie (mikro), mazie, vidējie un lielie komersanti, tai skaitā  Latvijas Republikā reģistrētas ārvalstu filiāles, kas veic saimniecisko darbību Latvijā (turpmāk – gala labuma guvējs).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kopējais pieejamais finansējums ir 14 508 130 </w:t>
      </w:r>
      <w:r w:rsidR="00000000" w:rsidRPr="00000000" w:rsidDel="00000000">
        <w:rPr>
          <w:i w:val="1"/>
          <w:rtl w:val="0"/>
        </w:rPr>
        <w:t xml:space="preserve">euro, </w:t>
      </w:r>
      <w:r w:rsidR="00000000" w:rsidRPr="00000000" w:rsidDel="00000000">
        <w:rPr>
          <w:rtl w:val="0"/>
        </w:rPr>
        <w:t xml:space="preserve">tai skaitā Eiropas Sociālā fonda (turpmāk - ESF) finansējums 12 331 910</w:t>
      </w:r>
      <w:r w:rsidR="00000000" w:rsidRPr="00000000" w:rsidDel="00000000">
        <w:rPr>
          <w:i w:val="1"/>
          <w:rtl w:val="0"/>
        </w:rPr>
        <w:t xml:space="preserve"> euro</w:t>
      </w:r>
      <w:r w:rsidR="00000000" w:rsidRPr="00000000" w:rsidDel="00000000">
        <w:rPr>
          <w:rtl w:val="0"/>
        </w:rPr>
        <w:t xml:space="preserve"> un valsts budžeta finansējums ir 2 176 220 </w:t>
      </w:r>
      <w:r w:rsidR="00000000" w:rsidRPr="00000000" w:rsidDel="00000000">
        <w:rPr>
          <w:i w:val="1"/>
          <w:rtl w:val="0"/>
        </w:rPr>
        <w:t xml:space="preserve">euro</w:t>
      </w:r>
      <w:r w:rsidR="00000000" w:rsidRPr="00000000" w:rsidDel="00000000">
        <w:rPr>
          <w:rtl w:val="0"/>
        </w:rPr>
        <w:t xml:space="preserve">, un tas ir pieejams līdz 2029.gada 31.decembrim.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kopējo pieejamo attiecināmo finansējumu līdz šo noteikumu 4. punktā minētajam plānotajam maksimālajam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4.2.4.1. pasākuma ietvaros ir sasniedzami šādi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2024.gada 31.decembrim ar grantiem atbalstāmo komersantu skaits 70;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2024.gada 31.decembrim ar grantiem atbalstāmo komersantu skaits 1 252;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2029.gada 31.decembrim uzraudzības rādītājs - kopējais atbalstīto komersantu skaits - 464;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2029.gada 31.decembrim uzraudzības rādītājs - kopējais atbalstīto apmācīto darbinieku skaits - 8 352;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ieviešanas veids ir grants un nefinanšu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Centrālā finanšu un līgumu aģentūra (turpmāk – CFLA) veic projektu iesniegumu atlasi pieejamā finansējuma apmērā atklātas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atbildīgās iestādes pienākumus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ietvaros informācijas apmaiņa notiek Kohēzijas politikas fondu vadības informācijas sistēmā (turpmāk – KPVIS). Projekta iesniedzēji sagatavo projekta iesniegumu saskaņā ar projektu iesniegumu atlases nolikuma prasībām un iesniedz to KPVIS.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Prasības projekta iesniedzējam un projekta vērtēšanai pasākuma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projekta atlasi veic CFLA.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 biedrība, kura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Latvijas Republikas Uzņēmumu reģistra biedrību un nodibinājumu reģistrā vismaz piecus gadus pirms projekta iesnieguma iesniegšanas sadarbības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pārstāv vienu no šīm nozarēm – Apstrādes rūpniecības nozari, Informācijas un komunikācijas tehnoloģiju nozari, Izmitināšanas un ēdināšanas pakalpojumu nozari, Finanšu un apdrošināšanas darbības nozari, Profesionālie, zinātnisko un tehniskie pakalpojumu nozari un Administratīvo un apkalpojošo dienestu darbības nozari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  (turpmāk - atbalstāmās nozares);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Latvijā reģistrēto biedrības biedru (komersantu) apgrozījums pēdējā noslēgtajā pārskata gadā pārsniedz 142 miljonus euro (ņemot vērā arī to komersantu apgrozījumu, kas nav projekta iesniedzēja biedri, bet ir biedri kādā no organizācijām, kas ir projekta iesniedzēja biedri);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tai ir pietiekama administrēšanas, īstenošanas un finanšu kapacitāte projekta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Valsts ieņēmumu dienesta administrēto nodokļu (nodevu) parādnieku datu bāzē pieejamo informāciju pēdējā datu aktualizācijas dienā pirms līguma slēgšanas tai nav nodokļu vai nodevu parādu, kas kopsummā pārsniedz 150 euro;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atbilst komercdarbības atbalsta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plānotie sagaidāmie rezultāti un rādītāji atbilst šajos noteikumos noteiktajam;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tai ir iepriekšēja pieredze prasmju pilnveides projektu īstenošanā vismaz trīs nepārtrauktus gadus ar dažādiem atbalsta projektiem, kas saistīti ar prasmju pilnveidi konkrētās nozares apmācībās un pēc apmācību kursu beigšanas izsniedz apliecinājumu par apmācību kursu apguvi.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iesniedz CFLA paraksta lapu, kur gala labuma guvējs ar savu parakstu apliecina dalību kursā. Paraksta lapu izstrādā pakalpojuma sniedzējs, ko paraksta gala labuma guvējs, katra apmācību kursa nodarbībā sasniedzot ne mazāk kā 75% apmeklējumu.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Projektu iesniegumu vērtēšanai CFLA izveido projektu iesniegumu vērtēšanas komisiju, kuras sastāvā ir CFLA pārstāvji, vismaz viens pārstāvis no  investīcijas ieviešanas atbildīgās ministrijas un pārstāvis no Izglītības un zinātnes ministrijas (turpmāk - IZM).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pieteikumu vērtēšanu sāk pēc projektu iesniegumu iesniegšanas termiņa beigām. Projekta pieteikums, kas iesniegts pēc iesniegšanas beigu datuma, netiek vērtēts, un CFLA par to informē projekta iesniedzēju.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ietvaros drīkst iesniegt vienu projekta iesniegumu, kas attiecas uz atbalstāmajām nozarēm.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sākotnēji sniedz vienam projekta iesniedzējam katrā atbalstāmajā nozarē, kurš saņēmis augstāko punktu skaitu pēc projektu iesniegumu izvērtēšanas.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pēc sākotnēji atbalstīto projektu iesniedzēju apstiprināšanas ir pieejams finansējums, atbalstu sniedz nākamajam projekta iesniedzējam ar augstāko punktu skaitu katrā atbalstāmajā nozarē. Atbalstāmajās nozarēs nevar atbalstīt vairāk par diviem projekta iesniedzējiem.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Vispārīgie nosacījumi prasībām projekta iesniedzējam un projekta vērtēšanai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iesniedz projekta iesniegumu KPVIS, pievienojot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laika grafiks;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dubultā finansējuma neesamību;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budžetā norādīto izmaksu aprēķina atšifrējums, kas pamato plānoto izmaksu apmēru (informācija par veiktajām tirgus aptaujām, statistikas datiem, pieredzi līdzīgos projektos u.tml.);</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veidlapas “Veidlapa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identifikācijas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biedrības biedru sarakstu un biedru, kas nav projekta iesniedzēja biedri, bet ir biedri kādā no organizācijām, kas ir projekta iesniedzēja biedri, sarakstu/-s, ja projekta iesniedzējs balstās uz to rādītājiem apgrozījuma vai citu biedru rādītāju pamatošanai, pamatojoties uz šo noteikumu </w:t>
      </w:r>
      <w:r w:rsidR="00000000" w:rsidRPr="00000000" w:rsidDel="00000000">
        <w:rPr>
          <w:rtl w:val="0"/>
        </w:rPr>
        <w:t xml:space="preserve">13.3. </w:t>
      </w:r>
      <w:r w:rsidR="00000000" w:rsidRPr="00000000" w:rsidDel="00000000">
        <w:rPr>
          <w:rtl w:val="0"/>
        </w:rPr>
        <w:t xml:space="preserve">apakšpunktu</w:t>
      </w:r>
      <w:r w:rsidR="00000000" w:rsidRPr="00000000" w:rsidDel="00000000">
        <w:rPr>
          <w:rtl w:val="0"/>
        </w:rPr>
        <w:t xml:space="preserve"> (iesniedzot apliecinājumu par datu pareizību);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iekšējās kontroles sistēmas aprakstu, kas ietver aprakstu par pārbaudīšanas, novēršanas un labošanas nosacījumiem attiecībā uz korupcijas, krāpšanas, interešu konflikta un dubultā finansējuma vadības procesiem, kā arī nosacījumus apstākļu noteikšanai un identificēšanai, kas izraisa vai var izraisīt to iestāšanos, tai skaitā kā tiks pārbaudīta apmācību kursu nedublēšanās.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Reģistrēt visus saņemtos projekta iesnieguma iesniedzējus un rakstiski informēt projekta iesnieguma iesniedzējus, nosūtot elektronisko apstiprinājumu par projekta iesnieguma saņemšanu.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 finansējuma saņēmēju un gala labuma guvēju nav attiecināms neviens no šādiem izslēkšanas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vai persona, kura ir komersanta valdes vai padomes loceklis vai prokūrists, vai persona, kura ir pilnvarota pārstāvēt komersantu ar filiāli saistītās darbībās, ar tādu prokurora priekšrakstu par sodu vai tiesas spriedumu, kas stājies spēkā un kļuvis neapstrīdams un nepārsūdzams, ir atzīta par vainīgu jebkurā no šādiem noziedzīgiem nodarījumiem tam jābūt konstatētam ar spēkā stājušos tiesas spriedumu vai prokurora priekšrakstu par sodu (fiziskai personai), vai prokurora priekšrakstu par piespiedu ietekmēšanas līdzekļa piemērošanu (juridiskai personai):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apmācība terora aktu veikšanai;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tas veic preču un vielu, kuru aprite ir aizliegta vai speciāli reglamentēta, pārvietošanu pāri Latvijas Republikas valsts robežai;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vai gala labuma guvējs ar tādu attiecīgā jomā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komersantu ir atbrīvojusi no naudas soda vai naudas sodu samazinājusi;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nodarbināšana bez rakstveidā noslēgta darba līguma, nodokļu normatīvajos aktos noteiktajā termiņā neiesniedzot par šo personu informatīvo deklarāciju par darbiniekiem, kas iesniedzama par personām, kuras uzsāk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pasludināts maksātnespējas process, ierosināta tiesiskās aizsardzības procesa lieta vai tiek īstenots tiesiskās aizsardzības preocess  apturēta vai pārtraukta finansējuma saņēmējs vai gala labuma guvējs saimnieciskā darbība vai finansējuma saņēmējs vai gala labuma guvējs tiek likvidēts.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Atbalstāmo darbību un izmaksu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Apmācības komersantam var sniegt tā saistītās personas, kas atbilst Komisijas regulas Nr. 651/2014 1. pielikuma 3. panta 3. punktā noteiktajai definīcijai, ja saistītā persona ir izvēlēta atbilstoši šo noteikumu </w:t>
      </w:r>
      <w:r w:rsidR="00000000" w:rsidRPr="00000000" w:rsidDel="00000000">
        <w:rPr>
          <w:rtl w:val="0"/>
        </w:rPr>
        <w:t xml:space="preserve">36. </w:t>
      </w:r>
      <w:r w:rsidR="00000000" w:rsidRPr="00000000" w:rsidDel="00000000">
        <w:rPr>
          <w:rtl w:val="0"/>
        </w:rPr>
        <w:t xml:space="preserve">punkt</w:t>
      </w:r>
      <w:r w:rsidR="00000000" w:rsidRPr="00000000" w:rsidDel="00000000">
        <w:rPr>
          <w:rtl w:val="0"/>
        </w:rPr>
        <w:t xml:space="preserve">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Biedrības drīkst veikt iepirkumus projekta īstenošanas laikā, ja tie nepieciešami, lai uzlabotu komersantu digitālo prasmju attīstību.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Apmācību sniedzējs ir juridiska vai fiziska persona. Apmācību sniedzēja (pasniedzēja) kvalifikācija atbilst vismaz vienai no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tai skaitā partnerībā esoša biedrība vai nodibinājums, ja projekts tiek īstenots partnerībā, nodrošinot pārbaudes dokumentēšanu, ir pārliecinājies, ka apmācību sniedzējs var sniegt apmācības, kas nodrošina pasākuma mērķu sasniegšanu, apmācību sniedzējs ir ar pietiekamu kapacitāti un apmācību kursa saturs ir atbilstošs komersantu apmācību vajadzībām.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Pasniedzēju, kas atbilst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noteiktajām prasībām var piesaistīt no ārvalstīm.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ietvaros ir attiecināmas šādas projekta īstenošanas izmaksas, ko sedz finansējuma saņēmējs: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kursu izmaksām ir jābūt tieši saistītām ar mācību projektu, atbilstoši Komisijas regulas Nr.651/2014 31.panta 3.punkta b) apakšpunktam: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pasniedzēju darba samaksa par darba stundām, kas nepārsniedz apmācību kursu ilgumu (tai skaitā darba devēja valsts sociālās apdrošināšanas obligātās iemaksas);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pasniedzēju un nodarbināto ceļa (transporta)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pasniedzēju izmitināšanas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apmācībām saistīto konsultāciju pakalpojumu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 labuma guvēja darbinieku izmitināšanas izmaksas, ja apmācības norisinās ārvalstīs;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informatīvo pasākumu izmaksas un konferences organizēšanas izmaksas, lai motivētu komersantus attīstīt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materiāliem un pakalpojumiem, kas tieši saistīti ar apmācību kursiem: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apmācībām izmantojamo mācību materiālu izmaksas (drukāti vai audiovizuāli materiāli, kuri pēc apmācību beigām paliek projektā apmācīto nodarbināto īpašumā);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apmācībām izmantojamo telpu un iekārtu nomas izmaksas par mācību laiku;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maksa gala labuma guvēju darbiniekiem, tai skaitā sertifikācijas vai eksaminācijas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tulku un tulkotāju pakalpojumu izmaksas (tulka izmaksās ir iekļautas arī komandējuma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tiešsaistes platformu abonementu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surdotulku, reāllaika transkripcijas un subtitrēšanas pakalpojumu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Finansējumu piešķir komersantu nodarbināto apmācībām jomās, kuras noteiktas šo noteikumu</w:t>
      </w:r>
      <w:r w:rsidR="00000000" w:rsidRPr="00000000" w:rsidDel="00000000">
        <w:rPr>
          <w:b w:val="1"/>
          <w:rtl w:val="0"/>
        </w:rPr>
        <w:t xml:space="preserve"> </w:t>
      </w:r>
      <w:r w:rsidR="00000000" w:rsidRPr="00000000" w:rsidDel="00000000">
        <w:rPr>
          <w:rtl w:val="0"/>
        </w:rPr>
        <w:t xml:space="preserve">2. </w:t>
      </w:r>
      <w:r w:rsidR="00000000" w:rsidRPr="00000000" w:rsidDel="00000000">
        <w:rPr>
          <w:rtl w:val="0"/>
        </w:rPr>
        <w:t xml:space="preserve">pielikum</w:t>
      </w:r>
      <w:r w:rsidR="00000000" w:rsidRPr="00000000" w:rsidDel="00000000">
        <w:rPr>
          <w:rtl w:val="0"/>
        </w:rPr>
        <w:t xml:space="preserve">ā</w:t>
      </w:r>
      <w:r w:rsidR="00000000" w:rsidRPr="00000000" w:rsidDel="00000000">
        <w:rPr>
          <w:b w:val="1"/>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Finansējuma saņēmējs nepiešķir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augstākās izglītības programmās;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izmaksas – projektu vadība, grāmatvedības pakalpojumi, juridiskie pakalpojumi, t.sk. darba vietas aprīkojuma izmaksas (pieļaujama tikai aprīkojuma noma vai nolietojums), transporta izmaksas (maksa par degvielu, transportlīdzekļa noma, transporta pakalpojuma pirkšana, sabiedriskā transporta izmantošana), telpu īres un nomas izmaksas, telpu apsaimniekošanas izmaksas (apkure, elektrība, apsaimniekošanas pakalpojumi, ūdensapgāde), kancelejas preču izmaksas, pasta izdevumi, interneta un telekomunikāciju izmaksas, komandējumu vai darba braucienu izmaksas, iekļaujot šīs izmaksas ārpakalpojuma projekta vadības līgumā kā atsevišķu pozīciju.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vadība tiek veikta uz darba līguma pamata, tiek attiecinātas darba vietas aprīkojuma izmaksas (pieļaujama tikai aprīkojuma noma vai nolietojums), transporta izmaksas (maksa par degvielu, transportlīdzekļa noma, transporta pakalpojuma pirkšana, sabiedriskā transporta izmantošana), telpu īres un nomas izmaksas, telpu apsaimniekošanas izmaksas (apkure, elektrība, apsaimniekošanas pakalpojumi, ūdensapgāde), kancelejas preču izmaksas, pasta izdevumi, interneta un telekomunikāciju izmaksas, komandējumu vai darba braucienu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apmācībām, kas noteiktas Komisijas regulas Nr. 651/2014 31. panta 2.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transportlīdzekļu vadītāju kursiem A1, A, B1 un M kategorijas iegūšanai;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apmācībām jomās, kas nav iekļautas šo noteikumu </w:t>
      </w:r>
      <w:r w:rsidR="00000000" w:rsidRPr="00000000" w:rsidDel="00000000">
        <w:rPr>
          <w:rtl w:val="0"/>
        </w:rPr>
        <w:t xml:space="preserve">2. </w:t>
      </w:r>
      <w:r w:rsidR="00000000" w:rsidRPr="00000000" w:rsidDel="00000000">
        <w:rPr>
          <w:rtl w:val="0"/>
        </w:rPr>
        <w:t xml:space="preserve">pielikum</w:t>
      </w:r>
      <w:r w:rsidR="00000000" w:rsidRPr="00000000" w:rsidDel="00000000">
        <w:rPr>
          <w:rtl w:val="0"/>
        </w:rPr>
        <w:t xml:space="preserve">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Apmācībās iesaistītais nodarbinātais projekta ietvaros nedrīkst apgūt vienu un to pašu apmācību kursu vairāk par vienu reizi, tai skaitā projektos, kurus finansējuma saņēmējs īsteno vienlaikus.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Vadības izmaksas, t.sk. darba devēja valsts sociālās apdrošināšanas obligātās iemaksas nepārsniedz 17 % no kopējām projekta iesniegumā apstiprinātajām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projekta apmācību un ar tām saistītā personāla izmaksas nepārsniedz 80% no kopējām projekta iesniegumā apstiprinātajām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Informatīvo pasākumu izmaksas, lai motivētu komersantus attīstīt prasmes, kas nepārsniedz 15% no kopējām projekta iesniegumā apstiprinātajām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Pasākuma telpu un iekārtu nomas izmaksas par mācību laiku un mācību materiālu izmaksas nepārsniedz 5% no kopējām projekta iesniegumā apstiprinātajām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Pasākuma projekta kopējās attiecināmās izmaksas un konferences organizēšanas izmaksas nepārsniedz 10% no kopējām projekta iesniegumā apstiprinātajām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27.1.5.</w:t>
      </w:r>
      <w:r w:rsidR="00000000" w:rsidRPr="00000000" w:rsidDel="00000000">
        <w:rPr>
          <w:rtl w:val="0"/>
        </w:rPr>
        <w:t xml:space="preserve"> apakšpunktā minēto projekta vadību var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tai skaitā  partnerībā esošas biedrības vai nodibinājuma, ja projekts tiek īstenots partnerībā, darbinieki, atlīdzībā iekļaujot arī darba devēja valsts sociālās apdrošināšanas obligātās iemaksas;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veidā, uz uzņēmuma vai pakalpojuma līguma pamata piesaistot projektu vadītāju, atlīdzībā iekļaujot arī darba devēja valsts sociālās apdrošināšanas obligātās iemaksas. Uzņēmuma vai pakalpojumu līgumā nenorāda atlīdzības likmi par darba stundu, bet norāda sasniedzamo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ārpakalpojuma veidā vai uz uzņēmuma līguma pamata, piesaistot pakalpojuma sniedzēju.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Pasākuma ietvaros finansē tādas attiecināmās izmaksas, kuras tieši saistītas ar projekta ietvaros veiktajām darbībām, ir izmērāmas, samērīgas, pamatotas un atbilst pareizas finanšu vadības principiem. Investīcijas ietvaros ir iespējams veikt sociāli atbildīgu publisku iepirkumu.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Pasākuma ietvaros nav attiecināmas šādas izmaksu pozīcijas: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27. </w:t>
      </w:r>
      <w:r w:rsidR="00000000" w:rsidRPr="00000000" w:rsidDel="00000000">
        <w:rPr>
          <w:rtl w:val="0"/>
        </w:rPr>
        <w:t xml:space="preserve">punkt</w:t>
      </w:r>
      <w:r w:rsidR="00000000" w:rsidRPr="00000000" w:rsidDel="00000000">
        <w:rPr>
          <w:rtl w:val="0"/>
        </w:rPr>
        <w:t xml:space="preserve">ā nav noteiktas kā attiecināmas vai pārsniedz izmaksu apmēra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nodokļi t.sk. pievienotās vērtības nodoklis, muitas nodokļi, nodevas un soda maksājumi, izņemot šo noteikumu </w:t>
      </w:r>
      <w:r w:rsidR="00000000" w:rsidRPr="00000000" w:rsidDel="00000000">
        <w:rPr>
          <w:rtl w:val="0"/>
        </w:rPr>
        <w:t xml:space="preserve">27.1.1. </w:t>
      </w:r>
      <w:r w:rsidR="00000000" w:rsidRPr="00000000" w:rsidDel="00000000">
        <w:rPr>
          <w:rtl w:val="0"/>
        </w:rPr>
        <w:t xml:space="preserve">apakšpunkt</w:t>
      </w:r>
      <w:r w:rsidR="00000000" w:rsidRPr="00000000" w:rsidDel="00000000">
        <w:rPr>
          <w:rtl w:val="0"/>
        </w:rPr>
        <w:t xml:space="preserve">ā  un </w:t>
      </w:r>
      <w:r w:rsidR="00000000" w:rsidRPr="00000000" w:rsidDel="00000000">
        <w:rPr>
          <w:rtl w:val="0"/>
        </w:rPr>
        <w:t xml:space="preserve">31. </w:t>
      </w:r>
      <w:r w:rsidR="00000000" w:rsidRPr="00000000" w:rsidDel="00000000">
        <w:rPr>
          <w:rtl w:val="0"/>
        </w:rPr>
        <w:t xml:space="preserve">punkt</w:t>
      </w:r>
      <w:r w:rsidR="00000000" w:rsidRPr="00000000" w:rsidDel="00000000">
        <w:rPr>
          <w:rtl w:val="0"/>
        </w:rPr>
        <w:t xml:space="preserve">ā minētos gadījumus. Gadījumā, ja šādas izmaksas ir radušās, tās ir gala labuma guvēju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izmaksas, kas nav tieši saistītas ar projekta ietvaros veiktajām darbībām, nav izmērāmas, samērīgas, pamatotas ar izdevumus apliecinošiem dokumentiem un nav ievēroti saimnieciskuma, lietderības un efektivitātes principi, kā arī izmaksas, kas radušās pirms finansējuma saņēmēja iesnieguma par projekta īstenošanu iesniegšanas Vadības informācijas sistēmā. Ja projekta iesniedzējs uzsāk atbalstāmās darbības pirms līguma noslēgšanas ar CFLA, projekta iesniedzējs uzņemas visus riskus par saistībām, ko tas ir uzņēmies, un izdevumu neattiecināmību.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saņēmēja pienākumi pasākuma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gala labuma guvēju atbilstību šo noteikumu </w:t>
      </w:r>
      <w:r w:rsidR="00000000" w:rsidRPr="00000000" w:rsidDel="00000000">
        <w:rPr>
          <w:rtl w:val="0"/>
        </w:rPr>
        <w:t xml:space="preserve">22. </w:t>
      </w:r>
      <w:r w:rsidR="00000000" w:rsidRPr="00000000" w:rsidDel="00000000">
        <w:rPr>
          <w:rtl w:val="0"/>
        </w:rPr>
        <w:t xml:space="preserve">punkt</w:t>
      </w:r>
      <w:r w:rsidR="00000000" w:rsidRPr="00000000" w:rsidDel="00000000">
        <w:rPr>
          <w:rtl w:val="0"/>
        </w:rPr>
        <w:t xml:space="preserve">ā minētajam ierobežojumam;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vērtējot atbalsta apmēru gala labuma guvējam, apmācību projektā nodrošina Komisijas regulas Nr. 651/2014 4. panta 1. punkta “n” apakšpunkta noteiktā robežvērtības ievērošanu.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uzkrāj vismaz šādus datus, kurus atjauno ne retāk kā divas reizes gadā: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komersantu, kurā nodarbināts apmācītais nodarbinātais (nosaukums, reģistrācijas numurs, komersanta pārstāvētā nozare pēc NACE 2. red., komersanta statuss, viedās specializācijas stratēģijā noteiktā joma);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apmācībās iesaistīto nodarbināto skaitu (vārds, uzvārds, personas kods, vecums, dzimums, darbības/apmācību  nosaukums, apmācību sākuma un beigu datums un dalībnieku status);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apmācībās iesaistītā nodarbinātā izglītības līmenis un profesijas klasifikators;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saņemtajām apmācībām (nosaukums, īss apraksts, apmācību laiks un ilgums, apmācību vieta, apmācību sniedzējs un pasniedzējs, apmācību izmaksas, apmācību klasifikators);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apmācībās iesaistīto nodarbināto novērtējuma apkopojums  par apmācību kursu kvalitāti.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īstenošanai nepieciešamo preču un pakalpojumu iegādi veikt saskaņā ar normatīvajos aktos publisko iepirkumu jomā noteikto, īstenojot atklātu, pārredzamu, nediskriminējošu un konkurenci neierobežojošu iepirkuma procedūru.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tai skaitā  partnerībā esoša biedrība vai nodibinājums, ja projekts tiek īstenots partnerībā, vērtē šo noteikumu 36. punktā minēto apmācību kursu izmaksu ekonomisko pamatotību, tai skaitā atbilstību tirgus cenām, un kursu lietderību;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informācijas dokumentēšanu atbilstoši līgumam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saņēmēja pienākumi pēc līguma noslēgšanas ar CFLA: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projektu, par kura īstenošanu noslēgts līgums ar sadarbība siestādi;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pieteikumu atlases kritērijus;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izveidot iekšējās kontroles sistēmu, iekļaujot nosacījumus par pārbaudīšanas, novēršanas un labošanas nosacījumiem attiecībā uz korupcijas, krāpšanas, interešu konflikta un dubultā finansējuma vadības procesiem, iekļaujot nosacījumus par apstākļu noteikšanu un identificēšanu, kas izraisa vai var izraisīt to iestāšanos, novērtēšanu un labošanu un nosacījumus kā pārbaudīs, lai visu kārtu ietvaros netiktu apgūti vieni un tie paši apmācību kursi vairāk par vienu reizi;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līguma par projekta īstenošanu noslēgšanas ar CFLA, iesniegt Vadības informācijas sistēmā: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maksājumu pieprasījuma iesniegšanas grafiku, paredzot, ka maksājuma pieprasījumi tiks iesniegti ne biežāk kā reizi pusgadā;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tiklīdz ir zināma informācija par iepirkumu izsludināšanas brīdi aktualizēt iepirkuma plānu par visiem investīcijas ieviešanai plānotajiem iepirkumiem, kuru rīkošanai paredzēts piemērot publisko iepirkumu regulējumu;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maksājuma pieprasījuma iesniegšanas nodrošināt datu ievadi KPVIS par komercdarbības atbalstu saņēmušajiem gala labuma guvējiem;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gala labuma guvēja līmenī veikt pārbaudes un tās dokumentēt, saglabājot liecības un pamatojumu veiktajam izvērtējumam, tai skaitā: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komercdarbības atbalsta nosacījumu ievērošanu;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interešu konflikta, krāpšanas, korupcijas, kā arī dubultfinansējuma riska novēršanu;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sasniegto atskaites punktu un mērķu pamatojošo dokumentāciju, t.sk. datu ticamību;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izstrādāt un saskaņot ar sadarbības iestādi komercdarbības atbalsta piešķiršanas gala labuma guvējam metodoloģiju;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iesniegt CFLA maksājumu pieprasījumus vismaz divas reizes gadā, tajā iekļaujot izdevumu un sasniegto rādītāju pamatojošos dokumentus. Pēdējo maksājuma pieprasījumu iesniedz Vadības informācijas sistēmā ne vēlāk kā līdz 2029.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sagatavot un uzglabāt visu iesniegumu pieteikumu pamatojošo dokumentāciju,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nozares ministrijai pēc tās pieprasījuma ziņojumu, iekļaujot tajā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guvējiem, kuriem ir nodrošināta digitālo prasmju apguve;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apgūtās apmācības un šo apmācību jomas.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ministrijas vai CFLA pieprasījuma sniegt informāciju un pamatojošos dokumentus par projektu ieviešanas gaitu;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principa "nenodarīt būtisku kaitējumu" ievērošanu atbalsta sniegšanā, lai gala labuma guvēja pieteikumā iekļautā atbalstāmā darbībai ir nebūtiska vai tai ir neesoša paredzamā ietekme uz visiem vides mērķiem, vērtējot gan tiešās, gan primārās netiešās sekas visā aprites ciklā.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elektroniski parakstīt šo noteikumu </w:t>
      </w:r>
      <w:r w:rsidR="00000000" w:rsidRPr="00000000" w:rsidDel="00000000">
        <w:rPr>
          <w:rtl w:val="0"/>
        </w:rPr>
        <w:t xml:space="preserve">3. </w:t>
      </w:r>
      <w:r w:rsidR="00000000" w:rsidRPr="00000000" w:rsidDel="00000000">
        <w:rPr>
          <w:rtl w:val="0"/>
        </w:rPr>
        <w:t xml:space="preserve">pielikum</w:t>
      </w:r>
      <w:r w:rsidR="00000000" w:rsidRPr="00000000" w:rsidDel="00000000">
        <w:rPr>
          <w:rtl w:val="0"/>
        </w:rPr>
        <w:t xml:space="preserve">ā esošo objektivitātes, konfidencialitātes un interešu konflikta neesības apliecinājumu, visiem, kas iesaistās lēmuma pieņemšanas procesā par komercdarbības atbalsta piešķiršanu gala labuma guvējam. Apliecinājumu paraksta pirms projekta pieteikuma izskatīšanas. Apliecinājumu finansējuma saņēmējs glabā atbilstoši Parlamenta un Padomes 2018. gada 18. jūlija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–Regula) Nr. 2018/1046 132. pantam;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reģistrēt visus saņemtos pieteikumus, nosūtot iesniedzējam elektronisko apstiprinājumu par saņemto 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dokumentēt un uzglabāt pieteikumu apstiprināšanas un noraidīšanas iemeslu, kā arī reģistrēt visus saņemtos projekta iesniegumus;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pārliecināties, ka pasākuma projekta izdevumi ir nepieciešami rezultātu sasniegšanai, un šī saistība ir skaidri saprotama un pierādāma, tāpat, ievērojot saimnieciskuma, lietderības un efektivitātes principus;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pievienot KPVIS līguma par projekta īstenošanas kopiju vai līguma izrakstus par projektu apstiprināšanu, kas noslēgts starp finansējuma saņēmēju un gala labumu guvēju;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pārbaudīt, novērst un labot interešu konfliktu, korupciju un krāpšanu pirms iesniegumu izskatīšanas. Visu īstenošanas laiku nodrošināt pārbaužu dokumentēšanu un apliecinājuma par interešu konflikta nepieļaušanu parakstīšanu pirms padomes sēdes, nepieciešamības gadījumā novēršot vai labojot identificētos riskus vai konstatēto interešu konfliktu;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komersanta pieteikuma apstiprināšanas gadījumā pārbaudīt dubultā finansējuma neesamību pirms pieteikuma apstiprināšanas un visu tā īstenošanas laiku, nodrošinot pārbaužu dokumentēšanu.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apmācību kursiem nav iespējams noteikt tirgus cenu (nav salīdzināmu apmācību), finansējuma saņēmējs, tai skaitā  partnerībā esoša biedrība vai nodibinājums, ja projekts tiek īstenots partnerībā, paskaidro, ar ko apmācības atšķiras no standarta apmācībām un kāds ir apmācību kursu ekonomiskais pamatojums un lietderība, pamatojot konkrēto apmācību nepieciešamību komersantam, kura nodarbinātie tiks apmācīti, un nodrošinot informācijas dokumentēšanu atbilstoši līgumam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Finansējuma saņēmējam pasākuma ietvaros ir tiesības piesaistīt neatkarīgu revidentu vai iekšējo auditoru (ja nepieciešams), lai apliecinātu projektu starpposmu vai gala noslēguma atskaitē minēto mērķu sasniegšanu un izmaksu pamatotību.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attiecas uz apmācīto nodarbināto darba vietu, kas ir Latvijas Republika;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var notikt gan Latvijas Republikas teritorijā, gan ārvalstīs;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var nodrošināt gan klātienē, gan attālināti, tai skaitā izmantojot hibrīdmodeli.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CFLA ir šādi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pasākuma projektu iesniegumu atlasi, kas ietver projekta iesnieguma apstiprināšanu vai noraidīšanu;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saskaņot ar finansējuma saņēmējiem komercdarbības atbalsta piešķiršanas metodoloģiju pēc līguma par projekta īstenošanu noslēgšanas;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līguma slēgšanas ar finansējuma saņēmēju saskaņot līguma redakciju ar atbildīgo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slēgt līgumu ar finansējuma saņēmēju par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projektu īstenošanas uzraudzību;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izlases veidā veikt pārbaudes projekta īstenošanas vietā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krāpšanas, korupcijas, kā arī dubultā finansējuma riska novēršanu;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ieviešanas progresu un sasniegtajiem rādītājiem;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sasniegto atskaites punktu un mērķu pamatojošo dokumentāciju, t.sk. datu ticamību;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izskatīt finansējumu saņēmēju KPVIS iesniegtos maksājumu pieprasījumus un veikt maksājumus finansējuma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ieviest konsultē vispirms principu investīcijas pārvaldībā;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atklāta konkursa gadījumā, veikt projektu iesniegumu atlasi;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pieņemt lēmumun par un nodrošināt komercdarbības atbalsta piešķiršanu finansējuma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pārbaudīt vai pasākuma un reformu īstenošanā nav konstatējamas pazīmes, kas liecina par pieļautu interešu konflikta, korupcijas, krāpšanas vai dubultā finansējuma situāciju;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reģistrēt visus saņemtos projekta iesniegumus un rakstiski informēt iesniedzēju, nosūtot elektronisko apstiprinājumu par projekta iesnieguma saņemšanu;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Komisijas regulas Nr. 651/2014 9. panta 1.punkta “c” apakšpunktā un 4. punktā noteiktos publicitātes pasākumus.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Komisijas regulas Nr. 651/2014 12. pantā noteiktos uzraudzības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korupcijas, krāpšanas, interešu konflikta novēršanas principu pārbaudes attiecībā uz lēmuma pieņemšanas procesā iesaistītajām personām atbalsta piešķiršanu komersantu un tā darbinieka un pakalpojuma sniedzēja līmenī;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CFLA ir tiesības vienpusēji izbeigt līgumu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pasākuma mērķi vai atbalsta mērķa pasākuma uzraudzības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apmācību sniegšanu nav uzsācis sešu mēnešu laikā pēc līguma par projekta īstenošanu noslēgšanas;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projekta īstenošanas laikā apzināti ir sniedzis sadarbības iestādei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ir piemērotas starptautiskās vai nacionālās sankcijas vai būtiskas finanšu un kapitāla tirgus intereses ietekmējošas ES vai Ziemeļatlantijas līguma organizācijas dalībvalsts noteiktās sankcijas;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w:t>
      </w:r>
      <w:r w:rsidR="00000000" w:rsidRPr="00000000" w:rsidDel="00000000">
        <w:rPr>
          <w:b w:val="1"/>
          <w:rtl w:val="0"/>
        </w:rPr>
        <w:t xml:space="preserve"> </w:t>
      </w:r>
      <w:r w:rsidR="00000000" w:rsidRPr="00000000" w:rsidDel="00000000">
        <w:rPr>
          <w:rtl w:val="0"/>
        </w:rPr>
        <w:t xml:space="preserve">2. </w:t>
      </w:r>
      <w:r w:rsidR="00000000" w:rsidRPr="00000000" w:rsidDel="00000000">
        <w:rPr>
          <w:rtl w:val="0"/>
        </w:rPr>
        <w:t xml:space="preserve">pielikum</w:t>
      </w:r>
      <w:r w:rsidR="00000000" w:rsidRPr="00000000" w:rsidDel="00000000">
        <w:rPr>
          <w:rtl w:val="0"/>
        </w:rPr>
        <w:t xml:space="preserve">ā iekļautajiem projektu iesniegumu vērtēšanas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kritērijs, ja konstatē, ka uz projekta iesniedzēju ir attiecināms izslēgšanas kritērijs turpmāko projekta pieteikuma vērtēšanu neveic;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kritēriji, kas ietver projekta pieteikuma kvalitātes minimālās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plānā aprakstīta mijiedarbība ar reģionālajiem pakalpojumu sniedzējiem;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atbilstība noteikumu projekta izteiktajiem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atbilstības kritērijiem atbilstošie projekti, kas izpilda kvalitātes kritēriju minimālās prasības, tiek sarindoti pēc augstākā kvalitātes kritērijos iegūtā kopējā punktu skaita un priekšroku dod projektam ar lielāko kopējo punktu skaitu;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vairākiem projektu iesniegumiem otrās kārtas ietvaros ir vienāds punktu skaits, priekšroka ir projektam, kurā plānots lielākais apmācāmo komersantu skaits ir vienāds, priekšroka ir projektam, kas ir ieguvis augstāku punktu skaitu kvalitātes kritērijā Nr.3.1.2. "Projekta iesniedzēja apmācību projektu īstenošanas pieredze" un kvalitātes kritērijā "Iepriekšējā pieredze" ir ieguvis augstāku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Ministrijai ir šādi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un nodrošināt, ka projektu atlases komisijas sēdēs lēmumi tiek pieņemti, ievērojot interešu konflikta novēršanas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par šo noteikumu </w:t>
      </w:r>
      <w:r w:rsidR="00000000" w:rsidRPr="00000000" w:rsidDel="00000000">
        <w:rPr>
          <w:rtl w:val="0"/>
        </w:rPr>
        <w:t xml:space="preserve">7. </w:t>
      </w:r>
      <w:r w:rsidR="00000000" w:rsidRPr="00000000" w:rsidDel="00000000">
        <w:rPr>
          <w:rtl w:val="0"/>
        </w:rPr>
        <w:t xml:space="preserve">punktu</w:t>
      </w:r>
      <w:r w:rsidR="00000000" w:rsidRPr="00000000" w:rsidDel="00000000">
        <w:rPr>
          <w:rtl w:val="0"/>
        </w:rPr>
        <w:t xml:space="preserve">  minēto sasniedzamo rādītāju izpildi pēc finansējuma saņēmēju iesniegtiem parakstītiem ziņojumiem, kuros iekļauti tie gala labuma guvēji, kuriem ir nodrošināta digitālo prasmju apguve;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sniegt informāciju sabiedrībai par pasākuma ieviešanas progresu un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pasākuma uzraudzību un risku pārvaldību;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izstrādāt finansējuma saņēmēja projektu vērtēšanas kritēriju piemērošanas metodiku un publicēt to savā tīmekļvietnē. Metodiku izstrādā ne vēlāk kā 20 darba dienu laikā pēc šo noteikumu spēkā stāšanās;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pārbaudīt, vai Eiropas Savienības kohēzijas politikas programma 2021.–2027.gadam 1.2. prioritārā virziena “Atbalsts uzņēmējdarbībai” 1.2.3. specifikā atbalsta mērķa “Veicināt ilgtspējīgu izaugsmi, konkurētspēju un darba vietu radīšanu MVU, tostarp ar produktīvām investīcijām”,</w:t>
      </w:r>
      <w:r w:rsidR="00000000" w:rsidRPr="00000000" w:rsidDel="00000000">
        <w:rPr>
          <w:b w:val="1"/>
          <w:rtl w:val="0"/>
        </w:rPr>
        <w:t xml:space="preserve"> </w:t>
      </w:r>
      <w:r w:rsidR="00000000" w:rsidRPr="00000000" w:rsidDel="00000000">
        <w:rPr>
          <w:rtl w:val="0"/>
        </w:rPr>
        <w:t xml:space="preserve">tai skaitā pārbaudīt demarkāciju arī starp citiem publiskā finansējuma avotiem, kā arī pārbaudīt, vai nav konstatējamas korupcijas, krāpšanas riska un interešu konflikta pazīmes, ja nepieciešams, veicot darbības to novēršanai un labošanai.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kāda no Eiropas Savienības fondu vadībā iesaistītajām institūcijām vai finansējuma saņēmējs, tai skaitā  partnerībā esoša biedrība vai nodibinājums, ja projekts tiek īstenots partnerībā, konstatē jebkuru no šādiem gadījumiem, finansējuma saņēmējs, apmācību sniedzējam un apmācītajam komersantam izsaka brīdinājumu un attiecīgo apmācību izmaksas tiek atzītas par neatbilstoši veiktām: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sniedzējs nav sniedzis apmācības komersantam atbilstoši sadarbības iestādē iesniegtajā apmācību grafikā norādītajai apmācību tēmai;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sniedzējs nav sniedzis komersantam apmācības sadarbības iestādē iesniegtajā apmācību grafikā norādītajā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kāda no Eiropas Savienības fondu vadībā iesaistītajām institūcijām vai finansējuma saņēmējs, tai skaitā  partnerībā esoša biedrība vai nodibinājums, ja projekts tiek īstenots partnerībā, atkārtoti konstatē jebkuru no šo noteikumu </w:t>
      </w:r>
      <w:r w:rsidR="00000000" w:rsidRPr="00000000" w:rsidDel="00000000">
        <w:rPr>
          <w:rtl w:val="0"/>
        </w:rPr>
        <w:t xml:space="preserve">48. </w:t>
      </w:r>
      <w:r w:rsidR="00000000" w:rsidRPr="00000000" w:rsidDel="00000000">
        <w:rPr>
          <w:rtl w:val="0"/>
        </w:rPr>
        <w:t xml:space="preserve">punkt</w:t>
      </w:r>
      <w:r w:rsidR="00000000" w:rsidRPr="00000000" w:rsidDel="00000000">
        <w:rPr>
          <w:rtl w:val="0"/>
        </w:rPr>
        <w:t xml:space="preserve">ā  minētajiem gadījumiem, sadarbības iestāde par konstatēto informē visus pasākuma finansējuma saņēmējus, neslēdz jaunus līgumus par apmācību veikšanu ar attiecīgo apmācību sniedzēju vai apmācāmo komersantu.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Pasākuma ietvaros var saņemt avansa maksājumu saskaņā ar normatīvajos aktos par valsts budžeta līdzekļu plānošanas kārtību Eiropas Savienības fondu projektu īstenošanai un maksājumu veikšanai 2021. -2027. gada plānošanas periodā,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nepārsniedz 30 % no projektam piešķirtā publiskā finansējuma;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maksājums ir pieejams, ja finansējuma saņēmējs ir atvēris kontu Valsts kasē vai darījumu kontu Latvijā reģistrētā kredītiestādē, vai kontu Latvijā reģistrētā kredītiestādē un iesniedzis bankas garantiju par avansa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avansa maksājumu, finansējuma saņēmējs iesniedz KPVIS avansa pieprasījumu un plānotā avansa apjoma pamatojumu.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CFLA finansējuma saņēmējam izmaksājamo avansa summu apstiprina vai noraida, pamatojoties uz projekta sasniedzamajiem mērķiem un atskaites punktiem, maksājuma lietderību un finanšu drošību, ievērojot normatīvo aktu prasības maksājumu un darījumu apliecinošo dokumentu izstrādāšanas un noformēšanas jomā. Finansējuma saņēmējs var saņemt vairākus avansa maksājumus pie nosacījuma, ka nākamo avansa maksājumu finansējuma saņēmējs var saņemt pēc tam, kad iepriekšējais avansa maksājums ir izmantots pilnā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CFLA finansējuma saņēmējam izmaksājamo finansējuma apjomu nosaka, pamatojoties uz projekta attiecināmo izmaksu tāmi un attiecināmās izmaksas pamatojošiem dokumentiem, ievērojot normatīvo aktu prasības maksājumu un darījumu apliecinošo dokumentu izstrādāšanas un noformēšanas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CFLA, slēdzot līgumu ar finansējuma saņēmēju, tajā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 projektu īstenošana un uzraudzība;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maksājumu pieprasījumu iesniegšanas grafika iesniegšanas kārtību, iepirkumu plāna iesniegšanas kārtību, maksājuma pieprasījumu un noslēguma maksājuma pieprasījuma iesniegšanas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tiek veikta mērķu pamatojošās dokumentācijas pārbaude, t.sk. datu ticamības pārbaudēm un pārbaudēm sadarbības iestādes līmenī un finansējuma saņēmēja līmenī, finansējuma saņēmēja un gala labuma guvēju līmenī, lai pasākuma īstenošanas laikā novērstu korupciju, krāpšanu, dubultfinansējuma risku un interešu konfliktu saskaņā ar Komisijas regulas Nr. 2018/1046 61.pantu;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saņēmēji nodrošina informācijas un publicitātes pasākumus saskaņā ar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47. pantu un 50. pantu un Kārtību, kādā Eiropas Savienības fondu vadībā iesaistītās institūcijas nodrošina šo fondu ieviešanu 2021.–2027.gada plānošanas periodā, kā arī Eiropas Savienības fondu 2021.–2027. gada plānošanas perioda un Atveseļošanas fonda komunikācijas un dizaina vadlīnijām.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Ar atbalsta saņemšanu saistītie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Atbalsts gala labuma guvējam netiek sniegts, ja tas darbojas: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1407/2013 1. panta 1. un 2. punktā un 3. panta 2. punktā noteiktajās neatbalstāmajās nozarēs un darbībās un pretendē uz atbalstu saskaņā ar Komisijas regulu Nr. 1407/2013;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nepiešķir, ja gala labuma guvējs darbojas ieroču un munīcijas tirdzniecības nozarē (Saimniecisko darbību statistiskās klasifikācijas Eiropas Kopienā, 2. redakcija (turpmāk – NACE 2. red.) grupa 47.78 “Citur neklasificēta jaunu preču mazumtirdzniecība specializētajos veikalos”);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651/2014 13. panta "a", "b", "c", "d" apakšpunktā noteiktajās neatbalstāmajās nozarēs un darbībās;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darbības, saistībā ar fosilo kurināmo, tostarp tā pārkārtoto izmantošanu, tai skaitā projektus elektroenerģijas vai siltuma ražošanā, kā arī saistīto pārvades un sadales infrastruktūru, izmantojot dabasgāzi;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CO2 emisijas, izņemot gadījumus, ja gala labuma guvējs ir saņēmis atļauju šo darbību veikšanai.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regulas Nr. 651/2014 1. panta 2. punkta "c" un "d" apakšpunktā noteiktajās neatbalstāmajās nozarēs un darbībās un pretendē uz atbalstu saskaņā ar Komisijas regulu Nr. 651/2014;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regulas Nr. 651/2014 1. panta 3. punktā noteiktajās neatbalstāmajās nozarēs un darbībās atbilstoši Komisijas regulas Nr. 651/2014 2. panta 8., 9., 10. un 11. punktā noteiktajām definīcijām un pretendē uz atbalstu saskaņā ar Komisijas regulu Nr. 651/2014.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gala labuma guvējs darbojas kādā no šo noteikumu </w:t>
      </w:r>
      <w:r w:rsidR="00000000" w:rsidRPr="00000000" w:rsidDel="00000000">
        <w:rPr>
          <w:rtl w:val="0"/>
        </w:rPr>
        <w:t xml:space="preserve">45. </w:t>
      </w:r>
      <w:r w:rsidR="00000000" w:rsidRPr="00000000" w:rsidDel="00000000">
        <w:rPr>
          <w:rtl w:val="0"/>
        </w:rPr>
        <w:t xml:space="preserve">punkt</w:t>
      </w:r>
      <w:r w:rsidR="00000000" w:rsidRPr="00000000" w:rsidDel="00000000">
        <w:rPr>
          <w:rtl w:val="0"/>
        </w:rPr>
        <w:t xml:space="preserve">ā minētajām neatbalstāmajām nozarēm vai veic neatbalstāmās darbības, atbalstu drīkst piešķirt tikai tad, ja tiek skaidri nodalītas atbalstāmās darbības un finanšu plūsmas, nodrošinot, ka darbības izslēgtajās nozarēs negūst labumu no pasākuma ietvaros piešķirtā pasākuma.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Vienam de minimis atbalsta saņēmējam </w:t>
      </w:r>
      <w:r w:rsidR="00000000" w:rsidRPr="00000000" w:rsidDel="00000000">
        <w:rPr>
          <w:i w:val="1"/>
          <w:rtl w:val="0"/>
        </w:rPr>
        <w:t xml:space="preserve">de minimis</w:t>
      </w:r>
      <w:r w:rsidR="00000000" w:rsidRPr="00000000" w:rsidDel="00000000">
        <w:rPr>
          <w:rtl w:val="0"/>
        </w:rPr>
        <w:t xml:space="preserve">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1407/2013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saņēmējs, tai skaitā partnerībā esoša biedrība vai nodibinājums, ja projekts tiek īstenots partnerībā, pirms </w:t>
      </w:r>
      <w:r w:rsidR="00000000" w:rsidRPr="00000000" w:rsidDel="00000000">
        <w:rPr>
          <w:i w:val="1"/>
          <w:rtl w:val="0"/>
        </w:rPr>
        <w:t xml:space="preserve">de minimis</w:t>
      </w:r>
      <w:r w:rsidR="00000000" w:rsidRPr="00000000" w:rsidDel="00000000">
        <w:rPr>
          <w:rtl w:val="0"/>
        </w:rPr>
        <w:t xml:space="preserve"> atbalsta un Komisijas regulā Nr. 651/2014 paredzētā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euro, izņemot nodokļu maksājumus, par kuriem ir piešķirts samaksas termiņa pagarinājums, noslēgta vienošanās par labprātīgu nodokļu samaksu vai noslēgts vienošanās līgums.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Atbalsts pasākuma ietvaros tiek sniegts granta veidā.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Pieļaujamā finansējuma intensitāte, saņemot atbalstu gan no Komisijas regulas Nr. 651/2014, gan no Komisijas regulas Nr. 1407/2013 no projekta kopējām izmaksām nevar pārsniegt: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un mazajiem komersantiem – 70 %;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60 %;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lielajiem komersantiem - 50%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tai skaitā partnerībā esošai biedrībai vai nodibinājumam, ja projekts tiek īstenots partnerībā, administratīvo izmaksu segšanai 100 % apmērā, nepārsniedzot šo noteikumu </w:t>
      </w:r>
      <w:r w:rsidR="00000000" w:rsidRPr="00000000" w:rsidDel="00000000">
        <w:rPr>
          <w:rtl w:val="0"/>
        </w:rPr>
        <w:t xml:space="preserve">27.1.5. </w:t>
      </w:r>
      <w:r w:rsidR="00000000" w:rsidRPr="00000000" w:rsidDel="00000000">
        <w:rPr>
          <w:rtl w:val="0"/>
        </w:rPr>
        <w:t xml:space="preserve">apakšpunkt</w:t>
      </w:r>
      <w:r w:rsidR="00000000" w:rsidRPr="00000000" w:rsidDel="00000000">
        <w:rPr>
          <w:rtl w:val="0"/>
        </w:rPr>
        <w:t xml:space="preserve">ā  un </w:t>
      </w:r>
      <w:r w:rsidR="00000000" w:rsidRPr="00000000" w:rsidDel="00000000">
        <w:rPr>
          <w:rtl w:val="0"/>
        </w:rPr>
        <w:t xml:space="preserve">60. </w:t>
      </w:r>
      <w:r w:rsidR="00000000" w:rsidRPr="00000000" w:rsidDel="00000000">
        <w:rPr>
          <w:rtl w:val="0"/>
        </w:rPr>
        <w:t xml:space="preserve">punkt</w:t>
      </w:r>
      <w:r w:rsidR="00000000" w:rsidRPr="00000000" w:rsidDel="00000000">
        <w:rPr>
          <w:rtl w:val="0"/>
        </w:rPr>
        <w:t xml:space="preserve">ā  minēto ierobežojumu;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saņēmējam, tai skaitā partnerībā esošai biedrībai vai nodibinājumam, ja projekts tiek īstenots partnerībā, šo noteikumu </w:t>
      </w:r>
      <w:r w:rsidR="00000000" w:rsidRPr="00000000" w:rsidDel="00000000">
        <w:rPr>
          <w:rtl w:val="0"/>
        </w:rPr>
        <w:t xml:space="preserve">27.2. </w:t>
      </w:r>
      <w:r w:rsidR="00000000" w:rsidRPr="00000000" w:rsidDel="00000000">
        <w:rPr>
          <w:rtl w:val="0"/>
        </w:rPr>
        <w:t xml:space="preserve">apakšpunkt</w:t>
      </w:r>
      <w:r w:rsidR="00000000" w:rsidRPr="00000000" w:rsidDel="00000000">
        <w:rPr>
          <w:rtl w:val="0"/>
        </w:rPr>
        <w:t xml:space="preserve">ā minēto izmaksu segšanai 100 % apmērā, nepārsniedzot šo noteikumu </w:t>
      </w:r>
      <w:r w:rsidR="00000000" w:rsidRPr="00000000" w:rsidDel="00000000">
        <w:rPr>
          <w:rtl w:val="0"/>
        </w:rPr>
        <w:t xml:space="preserve">73. </w:t>
      </w:r>
      <w:r w:rsidR="00000000" w:rsidRPr="00000000" w:rsidDel="00000000">
        <w:rPr>
          <w:rtl w:val="0"/>
        </w:rPr>
        <w:t xml:space="preserve">punkt</w:t>
      </w:r>
      <w:r w:rsidR="00000000" w:rsidRPr="00000000" w:rsidDel="00000000">
        <w:rPr>
          <w:rtl w:val="0"/>
        </w:rPr>
        <w:t xml:space="preserve">ā minēto ierobežojumu.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CFLA izvērtē finansējuma saņēmēju, tai skaitā partnerībā esošas biedrības vai nodibinājuma, ja projekts tiek īstenots partnerībā, atbilstību Komisijas regulai Nr. 1407/2013. Finansējuma saņēmējs vai partnerībā esoša biedrība vai nodibinājums, ja projekts tiek īstenots partnerībā, izvērtē pirmās un otrās atlases kārtas gala labuma guvēju atbilstību Komisijas regulai Nr. 651/2014  un Komisijas regulai Nr. 1407/2013. Izvērtējuma dokumentus iesniedz sadarbības iestādē. Lēmums par komercdarbības atbalsta piešķiršanu finansējuma saņēmējam, tai skaitā partnerībā esošai biedrībai vai nodibinājumam, ja projekts tiek īstenots partnerībā, saskaņā ar Komisijas regulu Nr. 1407/2013 un gala labuma guvējam saskaņā ar Komisijas regulu Nr. 1407/2013 un Komisijas regulu Nr. 651/2014 ir sadarbības iestādes lēmums par atbilstību komercdarbības atbalsta normām.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projekta faktiski apgūtais finansējuma apjoms pēc noslēguma pārskata apstiprināšanas ir mazāks nekā sākotnēji paredzētais, tad nodrošina, lai faktiski sasniegtie rādītāji (komersantu skaits un apmācīto darbinieku skaits) nebūtu mazāki par projekta iesniegumā plānotajiem rādītājiem, kas koriģēti atbilstoši faktiskajai apguvei. Šajā gadījumā projektam apstiprināto intensitāti un finansējuma apjomu samazina, pieprasot starpposma vai noslēguma maksājumu atbilstoši faktiskajam apmācīto darbinieku skaitam no sīkajiem (mikro), mazajiem, vidējiem un lielajiem komersantiem.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Gadījumos, kad finansējuma saņēmējs ir </w:t>
      </w:r>
      <w:r w:rsidR="00000000" w:rsidRPr="00000000" w:rsidDel="00000000">
        <w:rPr>
          <w:i w:val="1"/>
          <w:rtl w:val="0"/>
        </w:rPr>
        <w:t xml:space="preserve">de minimis</w:t>
      </w:r>
      <w:r w:rsidR="00000000" w:rsidRPr="00000000" w:rsidDel="00000000">
        <w:rPr>
          <w:rtl w:val="0"/>
        </w:rPr>
        <w:t xml:space="preserve"> atbalsta saņēmējs un tiek pārkāptas Komisijas regulas Nr. 1407/2013 prasības, finansējuma saņēmējam ir pienākums atmaksāt CFLA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pārkāptas Komisijas regulas Nr. 651/2014 prasības, finansējuma saņēmējam, tai skaitā partnerībā esošai biedrībai vai nodibinājumam, ja projekts tiek īstenots partnerībā, ir pienākums atmaksāt sadarbības iestādei visu nelikumīgo projekta ietvaros saņemto komercdarbības atbalstu kopā ar procentiem, kurus aprēķina no dienas, kad nelikumīgais atbalsts pirmo reizi nodots gala labuma guvējam, līdz tā atgūšanas dienai, no līdzekļiem, kas brīvi no komercdarbības atbalsta saskaņā ar Komercdarbības atbalsta kontroles likuma IV vai V nodaļu. Minētajā gadījumā finansējuma saņēmējam, tai skaitā partnerībā esošai biedrībai vai nodibinājumam, ja projekts tiek īstenots partnerībā, ir tiesības no gala labuma guvēja saņemt kompensāciju atmaksātā nelikumīgā atbalsta (kopā ar procentiem)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konstatē, ka Komisijas regulas Nr. 1407/2013 prasību pārkāpuma dēļ finansējuma saņēmējs, tai skaitā partnerībā esoša biedrība vai nodibinājums, ja projekts tiek īstenots partnerībā, saņēmis nelikumīgu komercdarbības atbalstu, finansējuma saņēmējam, tai skaitā partnerībā esošai biedrībai vai nodibinājumam, ja projekts tiek īstenots partnerībā, ir pienākums atmaksāt sadarbības iestādei visu projekta ietvaros saņemto komercdarbības atbalstu kopā ar procentiem, kurus aprēķina no dienas, kad nelikumīgais komercdarbības atbalsts tika izmaksāts finansējuma saņēmējam, tai skaitā partnerībā esošai biedrībai vai nodibinājumam, ja projekts tiek īstenots partnerībā, līdz tā atgūšanas dienai, no līdzekļiem, kas brīvi no komercdarbības atbalsta saskaņā ar Komercdarbības atbalsta kontroles likuma IV vai V nodaļu.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intensitāti, kas minēta šo noteikumu </w:t>
      </w:r>
      <w:r w:rsidR="00000000" w:rsidRPr="00000000" w:rsidDel="00000000">
        <w:rPr>
          <w:rtl w:val="0"/>
        </w:rPr>
        <w:t xml:space="preserve">60. </w:t>
      </w:r>
      <w:r w:rsidR="00000000" w:rsidRPr="00000000" w:rsidDel="00000000">
        <w:rPr>
          <w:rtl w:val="0"/>
        </w:rPr>
        <w:t xml:space="preserve">punkt</w:t>
      </w:r>
      <w:r w:rsidR="00000000" w:rsidRPr="00000000" w:rsidDel="00000000">
        <w:rPr>
          <w:rtl w:val="0"/>
        </w:rPr>
        <w:t xml:space="preserve">ā, var palielināt par 10 %, ja mācības tiek nodrošinātas strādājošajiem ar invaliditāti vai nelabvēlīgākā situācijā esošiem darba ņēmējiem, kuri atbilst Komisijas regulas Nr. 651/2014 2. panta 3. un 4. punktā minētajām definīcijām. Saskaņā ar Komisijas regulas Nr. 651/2014 31. panta 4. punktu atbalsta intensitāti var paaugstināt ne vairāk kā līdz 70 %.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Gala labuma guvējs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1407/2013 3. panta 2. punktā noteiktajam attiecīgajam robežlielumam, kā arī drīkst kumulēt ar citu komercdarbības atbalstu attiecībā uz vienām un tām pašām attiecināmajām izmaksām vai citu komercdarbības atbalstu tam pašam riska finansējuma investīcijai, ja netiek pārsniegta attiecīgā maksimālā atbalsta intensitāte vai atbalsta summa, kāda noteikta komercdarbības atbalsta programmā vai Eiropas Komisijas lēmumā. Ja par vienām un tām pašām projekta attiecināmajām izmaksām tiek sniegts atbalsts vairāku komercdarbības atbalsta programmu ietvaros, gala labuma guvējs finansējuma saņēmējam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Gala labuma guvējs atbalstu, ar Komisijas regulu Nr. 651/2014 piešķirts atbrīvojums, var kumulēt ar citu komercdarbības atbalstu, ja vien šie pasākumi attiecas uz dažādām nosakāmām attiecināmajām izmaksām, kā arī drīkst kumulēt ar citu komercdarbības atbalstu attiecībā uz tām pašām attiecināmajām izmaksām, kas daļēji vai pilnībā pārklājas, gadījumā, ja šādas kumulēšanas rezultātā netiek pārsniegta šo noteikumu 79. punktā minētā atbalsta intensitāte. Ja par vienām un tām pašām projekta attiecināmajām izmaksām tiek sniegts atbalsts vairāku komercdarbības atbalsta programmu ietvaros, gala labuma guvējs finansējuma saņēmējam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Atbilstoši Komisijas regulas Nr. 651/2014 12. panta 1. punktam informācijas pieejamība tiek nodrošināta šādā veidā: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sākot no dienas, kad ir piešķirts pēdējais atbalsts saskaņā ar atbalsta shēmu;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informācijas pieejamību 10 gadus, skaitot no atbalsta piešķiršanas brīža.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Atbilstoši Komisijas regulas Nr. 1407/2013 6. panta 4. punktam informācijas pieejamība tiek nodrošināta šādā veidā: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dalībvalstis reģistrē un apkopo visu informāciju par šīs regulas piemērošanu. Šajā informācijā ietver visus datus, kas vajadzīgi, lai pierādītu, ka šīs regulas nosacījumi ir ievēroti. Datus par individuālo </w:t>
      </w:r>
      <w:r w:rsidR="00000000" w:rsidRPr="00000000" w:rsidDel="00000000">
        <w:rPr>
          <w:i w:val="1"/>
          <w:rtl w:val="0"/>
        </w:rPr>
        <w:t xml:space="preserve">de minimis</w:t>
      </w:r>
      <w:r w:rsidR="00000000" w:rsidRPr="00000000" w:rsidDel="00000000">
        <w:rPr>
          <w:rtl w:val="0"/>
        </w:rPr>
        <w:t xml:space="preserve"> atbalstu glabā 10 fiskālos gadus, sākot no šā atbalsta piešķiršanas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 </w:t>
      </w:r>
      <w:r w:rsidR="00000000" w:rsidRPr="00000000" w:rsidDel="00000000">
        <w:rPr>
          <w:rtl w:val="0"/>
        </w:rPr>
        <w:t xml:space="preserve">atbalsta shēmu glabā 10 fiskālos gadus, sākot no dienas, kurā saskaņā ar šo shēmu piešķirts pēdējais individuālais atbalsts.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Ministrija publicē Eiropas Komisijas tīmekļvietne un savā tīmekļvietnē informāciju atbilstoši Komisijas regulas Nr. 651/2014 9. panta 1. un 4. punktam, finansējuma saņēmējs publicē informāciju savā tīmekļvietnē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saņēmējs, tai skaitā partnerībā esoša biedrība vai nodibinājums, ja projekts tiek īstenots partnerībā, </w:t>
      </w:r>
      <w:r w:rsidR="00000000" w:rsidRPr="00000000" w:rsidDel="00000000">
        <w:rPr>
          <w:i w:val="1"/>
          <w:rtl w:val="0"/>
        </w:rPr>
        <w:t xml:space="preserve">de minimis</w:t>
      </w:r>
      <w:r w:rsidR="00000000" w:rsidRPr="00000000" w:rsidDel="00000000">
        <w:rPr>
          <w:rtl w:val="0"/>
        </w:rPr>
        <w:t xml:space="preserve"> atbalstu nedrīkst kumulēt ar citu </w:t>
      </w:r>
      <w:r w:rsidR="00000000" w:rsidRPr="00000000" w:rsidDel="00000000">
        <w:rPr>
          <w:i w:val="1"/>
          <w:rtl w:val="0"/>
        </w:rPr>
        <w:t xml:space="preserve">de minimis</w:t>
      </w:r>
      <w:r w:rsidR="00000000" w:rsidRPr="00000000" w:rsidDel="00000000">
        <w:rPr>
          <w:rtl w:val="0"/>
        </w:rPr>
        <w:t xml:space="preserve"> vai citu valsts atbalstu attiecībā uz vienām un tām pašām attiecināmajām izmaksām vai citu valsts atbalstu tam pašam riska finansējuma pasākumam.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Finansējuma saņēmēji CFLA pieņemto lēmumu var apstrīdēt Finanšu ministrijā viena mēneša laikā no lēmuma spēkā stāšanās dienas. Finanšu ministrijas izdoto lēmumu var pārsūdzēt Administratīvā rajona tiesā.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Gala labuma guvējs finansējuma saņēmēja lēmumu par komercdarbības atbalsta piešķiršanas pieņemto lēmumu par neatbilstību komercdarbības atbalsta nosacījumiem var apstrīdēt Ekonomikas ministrijā. Ekonomikas ministrijas pieņemto lēmumu gala labuma guvējs var pārsūdzēt Administratīvajā tiesā.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Lēmumus par komercdarbības atbalsta piešķiršanu finansējuma saņēmējam un gala labuma guvējam saskaņā ar Komisijas regulu Nr. 1407/2013 var pieņemt līdz 2029.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Lēmumus par komercdarbības atbalsta piešķiršanu gala labuma guvējam saskaņā ar Komisijas regulu Nr. 651/2014  58.panta 4.punktu var pieņemt līdz 2029. gada 31.decembrim.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23-TA-958</w:t>
    </w:r>
    <w:r>
      <w:br/>
    </w:r>
    <w:r w:rsidR="00000000" w:rsidRPr="00000000" w:rsidDel="00000000">
      <w:rPr>
        <w:rtl w:val="0"/>
      </w:rPr>
      <w:t xml:space="preserve">Izdrukāts 29.07.2026. 22.23 - 1.0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23-TA-958</w:t>
    </w:r>
    <w:r>
      <w:br/>
    </w:r>
    <w:r w:rsidR="00000000" w:rsidRPr="00000000" w:rsidDel="00000000">
      <w:rPr>
        <w:rtl w:val="0"/>
      </w:rPr>
      <w:t xml:space="preserve">Izdrukāts 29.07.2026. 22.23 - 1.0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noteikumu_projekts_23-TA-958.docx</dc:title>
</cp:coreProperties>
</file>

<file path=docProps/custom.xml><?xml version="1.0" encoding="utf-8"?>
<Properties xmlns="http://schemas.openxmlformats.org/officeDocument/2006/custom-properties" xmlns:vt="http://schemas.openxmlformats.org/officeDocument/2006/docPropsVTypes"/>
</file>