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303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26. maijā (prot. Nr. 29 41.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2025. gada 7. oktobra noteikumos Nr. 598 "Eiropas Savienības kohēzijas politikas programmas 2021.–2027. gadam 3.1. prioritātes "Ilgtspējīga TEN-T infrastruktūra" 3.1.1. specifiskā atbalsta mērķa "Attīstīt ilgtspējīgu, pret klimatu izturīgu, inteliģentu, drošu un vairākveidu TEN-T infrastruktūru" 3.1.1.1. pasākuma "Dzelzceļa infrastruktūras attīstība un energoefektivitātes uzlabošana sabiedriskajos pasažieru pārvadājumos" pirmās projektu iesniegumu atlases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 19. panta</w:t>
      </w:r>
      <w:r w:rsidR="00000000" w:rsidRPr="00000000" w:rsidDel="00000000">
        <w:rPr>
          <w:rStyle w:val="paragraph"/>
          <w:i w:val="1"/>
          <w:rtl w:val="0"/>
        </w:rPr>
        <w:t xml:space="preserve">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2025. gada 7. oktobra noteikumos Nr. 598 "Eiropas Savienības kohēzijas politikas programmas 2021.–2027. gadam 3.1. prioritātes "Ilgtspējīga TEN-T infrastruktūra" 3.1.1. specifiskā atbalsta mērķa "Attīstīt ilgtspējīgu, pret klimatu izturīgu, inteliģentu, drošu un vairākveidu TEN-T infrastruktūru" 3.1.1.1. pasākuma "Dzelzceļa infrastruktūras attīstība un energoefektivitātes uzlabošana sabiedriskajos pasažieru pārvadājumos" pirmās projektu iesniegumu atlases kārtas īstenošanas noteikumi" (Latvijas Vēstnesis, 2025, 195.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"Eiropas Savienības kohēzijas politikas programmas 2021.–2027. gadam 3.1. prioritātes "Ilgtspējīga TEN-T infrastruktūra" 3.1.1. specifiskā atbalsta mērķa "Attīstīt ilgtspējīgu, pret klimatu izturīgu, inteliģentu, drošu un vairākveidu TEN-T infrastruktūru" 3.1.1.1. pasākuma "Dzelzceļa infrastruktūras attīstība un energoefektivitātes uzlabošana sabiedriskajos pasažieru pārvadājumos" īstenošanas noteikumi".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kārtību, kādā īsteno Eiropas Savienības kohēzijas politikas programmas 2021.–2027. gadam 3.1. prioritātes "Ilgtspējīga TEN-T infrastruktūra" 3.1.1. specifiskā atbalsta mērķa "Attīstīt ilgtspējīgu, pret klimatu izturīgu, inteliģentu, drošu un vairākveidu TEN-T infrastruktūru" 3.1.1.1. pasākumu "Dzelzceļa infrastruktūras attīstība un energoefektivitātes uzlabošana sabiedriskajos pasažieru pārvadājumos"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Pasākuma ietvaros tiek īstenoti: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1. Eiropas Savienības struktūrfondu un Kohēzijas fonda 2014.–2020. gada plānošanas perioda posmotie projekti Nr. 3.1.1.3/1/24/I/001 "Dzelzceļa pasažieru infrastruktūras modernizācija, 2. posms" un Nr. 3.1.1.3/1/24/I/002 "Dzelzceļa infrastruktūras modernizācija vilcienu kustības ātruma paaugstināšanai, 2. posms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2. Eiropas Savienības kohēzijas politikas programmas 2021.–2027. gadam plānošanas perioda projekti."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Šo noteikumu 3.</w:t>
      </w:r>
      <w:r w:rsidR="00000000" w:rsidRPr="00000000" w:rsidDel="00000000">
        <w:rPr>
          <w:vertAlign w:val="superscript"/>
          <w:rtl w:val="0"/>
        </w:rPr>
        <w:t xml:space="preserve">1</w:t>
      </w:r>
      <w:r w:rsidR="00000000" w:rsidRPr="00000000" w:rsidDel="00000000">
        <w:rPr>
          <w:rtl w:val="0"/>
        </w:rPr>
        <w:t xml:space="preserve">1. apakšpunktā  norādītajos projektos līdz 2029. gada 31. decembrim ir sasniedzami šādi uzraudzības rādītāji: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iznākuma rādītājs: rekonstruēto vai modernizēto dzelzceļa līniju kopējais garums – 100 km;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iznākuma rādītājs: staciju skaits, kurās uzbūvēti paaugstinātie peroni, – 45 stacijas un pieturas;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rezultāta rādītājs: vilcienu kustības ātruma palielināšanās modernizētajā līnijā – līdz 140 km/h;</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rezultāta rādītājs: modernizētās dzelzceļa pasažieru infrastruktūras īpatsvars – 49 %."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Šo noteikumu 3.</w:t>
      </w:r>
      <w:r w:rsidR="00000000" w:rsidRPr="00000000" w:rsidDel="00000000">
        <w:rPr>
          <w:vertAlign w:val="superscript"/>
          <w:rtl w:val="0"/>
        </w:rPr>
        <w:t xml:space="preserve">1</w:t>
      </w:r>
      <w:r w:rsidR="00000000" w:rsidRPr="00000000" w:rsidDel="00000000">
        <w:rPr>
          <w:rtl w:val="0"/>
        </w:rPr>
        <w:t xml:space="preserve">2. apakšpunktā   norādītajos projektos līdz 2029. gada 31. decembrim ir sasniedzami šādi uzraudzības rādītāji: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1. iznākuma rādītājs: jaunu vai modernizētu dzelzceļa sliežu garums TEN-T – 40 km;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2. iznākuma rādītājs: jaunas vai modernizētas dzelzceļa stacijas un pieturas, kurās izbūvēti paaugstinātie peroni, – 20 stacijas un pieturas;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3. rezultāta rādītājs: jaunuzbūvēto, jaunināto, rekonstruēto vai modernizēto sliežu ceļu lietotāju skaits gadā – 11 189 574 pasažieri;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4. nacionālais rādītājs: izbūvēto dzelzceļa mobilo 5G sakaru bāzes staciju skaits – 20 bāzes stacijas."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Šo noteikumu 4.1., 4.2., 4.</w:t>
      </w:r>
      <w:r w:rsidR="00000000" w:rsidRPr="00000000" w:rsidDel="00000000">
        <w:rPr>
          <w:vertAlign w:val="superscript"/>
          <w:rtl w:val="0"/>
        </w:rPr>
        <w:t xml:space="preserve">1</w:t>
      </w:r>
      <w:r w:rsidR="00000000" w:rsidRPr="00000000" w:rsidDel="00000000">
        <w:rPr>
          <w:rtl w:val="0"/>
        </w:rPr>
        <w:t xml:space="preserve">1.  un 4.</w:t>
      </w:r>
      <w:r w:rsidR="00000000" w:rsidRPr="00000000" w:rsidDel="00000000">
        <w:rPr>
          <w:vertAlign w:val="superscript"/>
          <w:rtl w:val="0"/>
        </w:rPr>
        <w:t xml:space="preserve">1</w:t>
      </w:r>
      <w:r w:rsidR="00000000" w:rsidRPr="00000000" w:rsidDel="00000000">
        <w:rPr>
          <w:rtl w:val="0"/>
        </w:rPr>
        <w:t xml:space="preserve">2. apakšpunktā  minētais iznākuma un 4.</w:t>
      </w:r>
      <w:r w:rsidR="00000000" w:rsidRPr="00000000" w:rsidDel="00000000">
        <w:rPr>
          <w:vertAlign w:val="superscript"/>
          <w:rtl w:val="0"/>
        </w:rPr>
        <w:t xml:space="preserve">1</w:t>
      </w:r>
      <w:r w:rsidR="00000000" w:rsidRPr="00000000" w:rsidDel="00000000">
        <w:rPr>
          <w:rtl w:val="0"/>
        </w:rPr>
        <w:t xml:space="preserve">4. apakšpunktā minētais nacionālais rādītājs ir sasniegts, kad tiek pabeigti projektā paredzētie būvdarbi, objekti ir nodoti ekspluatācijā, finansējuma saņēmējs iesniedzis sadarbības iestādē noslēguma maksājuma pieprasījumu, kurā pamatota rādītāja sasniegšana, un sadarbības iestāde to apstiprinājusi."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4.</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3</w:t>
      </w:r>
      <w:r w:rsidR="00000000" w:rsidRPr="00000000" w:rsidDel="00000000">
        <w:rPr>
          <w:rtl w:val="0"/>
        </w:rPr>
        <w:t xml:space="preserve"> Šo noteikumu 4.3., 4.4. un 4.</w:t>
      </w:r>
      <w:r w:rsidR="00000000" w:rsidRPr="00000000" w:rsidDel="00000000">
        <w:rPr>
          <w:vertAlign w:val="superscript"/>
          <w:rtl w:val="0"/>
        </w:rPr>
        <w:t xml:space="preserve">1</w:t>
      </w:r>
      <w:r w:rsidR="00000000" w:rsidRPr="00000000" w:rsidDel="00000000">
        <w:rPr>
          <w:rtl w:val="0"/>
        </w:rPr>
        <w:t xml:space="preserve">3. apakšpunktā minētais rezultāta rādītājs ir sasniegts, kad finansējuma saņēmējs iesniedzis sadarbības iestādē noslēguma maksājuma pieprasījumu, kurā pamatota rādītāja sasniegšana, un sadarbības iestāde to apstiprinājusi. Rezultāta rādītāja vērtība ir attiecināma, ja tā ir  radusies viena kalendāra gada laikā pēc projekta noslēguma maksājuma veikšanas. Ja finansējuma saņēmējs rezultāta rādītāja vērtību sasniedz, sadarbības iestāde turpmāko projekta rezultāta rādītāja izpildi nekontrolē."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II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"II. Pasākumam pieejamais finansējums".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Pasākuma ietvaros plānotais un pieejamais kopējais finansējums ir 180 301 281 </w:t>
      </w:r>
      <w:r w:rsidR="00000000" w:rsidRPr="00000000" w:rsidDel="00000000">
        <w:rPr>
          <w:i w:val="1"/>
          <w:rtl w:val="0"/>
        </w:rPr>
        <w:t xml:space="preserve">euro</w:t>
      </w:r>
      <w:r w:rsidR="00000000" w:rsidRPr="00000000" w:rsidDel="00000000">
        <w:rPr>
          <w:rtl w:val="0"/>
        </w:rPr>
        <w:t xml:space="preserve">, tai skaitā Kohēzijas fonda finansējums – 153 256 088 </w:t>
      </w:r>
      <w:r w:rsidR="00000000" w:rsidRPr="00000000" w:rsidDel="00000000">
        <w:rPr>
          <w:i w:val="1"/>
          <w:rtl w:val="0"/>
        </w:rPr>
        <w:t xml:space="preserve">euro </w:t>
      </w:r>
      <w:r w:rsidR="00000000" w:rsidRPr="00000000" w:rsidDel="00000000">
        <w:rPr>
          <w:rtl w:val="0"/>
        </w:rPr>
        <w:t xml:space="preserve">un valsts budžeta līdzfinansējums – 27 045 193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Sadarbības iestāde, saskaņojot to ar atbildīgo iestādi, pasākuma ietvaros var pārdalīt Kohēzijas fonda finansējumu starp 3.</w:t>
      </w:r>
      <w:r w:rsidR="00000000" w:rsidRPr="00000000" w:rsidDel="00000000">
        <w:rPr>
          <w:vertAlign w:val="superscript"/>
          <w:rtl w:val="0"/>
        </w:rPr>
        <w:t xml:space="preserve">1</w:t>
      </w:r>
      <w:r w:rsidR="00000000" w:rsidRPr="00000000" w:rsidDel="00000000">
        <w:rPr>
          <w:rtl w:val="0"/>
        </w:rPr>
        <w:t xml:space="preserve">1.  un 3.</w:t>
      </w:r>
      <w:r w:rsidR="00000000" w:rsidRPr="00000000" w:rsidDel="00000000">
        <w:rPr>
          <w:vertAlign w:val="superscript"/>
          <w:rtl w:val="0"/>
        </w:rPr>
        <w:t xml:space="preserve">1</w:t>
      </w:r>
      <w:r w:rsidR="00000000" w:rsidRPr="00000000" w:rsidDel="00000000">
        <w:rPr>
          <w:rtl w:val="0"/>
        </w:rPr>
        <w:t xml:space="preserve">2. apakšpunktā minētajiem projektiem, pārliecinoties, ka netiek ietekmēta šo noteikumu 4.  un 4.</w:t>
      </w:r>
      <w:r w:rsidR="00000000" w:rsidRPr="00000000" w:rsidDel="00000000">
        <w:rPr>
          <w:vertAlign w:val="superscript"/>
          <w:rtl w:val="0"/>
        </w:rPr>
        <w:t xml:space="preserve">1</w:t>
      </w:r>
      <w:r w:rsidR="00000000" w:rsidRPr="00000000" w:rsidDel="00000000">
        <w:rPr>
          <w:rtl w:val="0"/>
        </w:rPr>
        <w:t xml:space="preserve"> punktā minēto rādītāju sasniegšana."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Pasākuma ietvaros atbalstāmās darbības ir publiskās lietošanas dzelzceļa infrastruktūras būvniecība, pārbūve un atjaunošana, kas nodrošina pilnvērtīgu integrēšanos TEN-T tīklā, un energoefektivitātes uzlabošana sabiedriskajos pasažieru pārvadājumos, tai skaitā Eiropas transporta tīklā esošās dzelzceļa infrastruktūras modernizācija un jaunas izveide, dzelzceļa pasažieru infrastruktūras modernizācija, kā arī drošības, dzelzceļa sakaru un informācijas sistēmu nodrošināšana."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14.16.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"14.16. indeksācijas izmaksas, nepārsniedzot 15 % no attiecīgā būvniecības līguma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14.17.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"14.17. ar klimatisko risku izvērtējumu un nepieciešamo darbību un materiālu izvēli šo risku mazināšanai saistītās izmaksas, lai nodrošinātu pielāgošanos klimata pārmaiņām."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Neparedzētie izdevumi nepārsniedz 5 % no projekta plānotajām kopējām tiešajām attiecināmajām izmaksām. Finansējuma saņēmējs saskaņo neparedzēto izdevumu izlietošanu ar sadarbības iestādi pirms izdevumu veikšanas."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28.1.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"28.1. ievērot principu "Vienlīdzība, iekļaušana, nediskriminācija un pamattiesību ievērošana" un uzkrāt datus par projekta ietekmi uz horizontālā principa rādītāju "Objektu skaits, kuros Kohēzijas fonda ieguldījumu rezultātā ir nodrošināta vides un informācijas pieejamība"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V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 Noslēguma jautājums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Atzīt par spēku zaudējušiem Ministru kabineta 2024. gada 23. jūlija noteikumus Nr. 507 "Eiropas Savienības kohēzijas politikas programmas 2021.–2027. gadam 3.1. prioritātes "Ilgtspējīga TEN-T infrastruktūra" 3.1.1. specifiskā atbalsta mērķa "Attīstīt ilgtspējīgu, pret klimatu izturīgu, inteliģentu, drošu un vairākveidu TEN-T infrastruktūru" 3.1.1.3. pasākuma "Eiropas transporta tīklā esošās dzelzceļa infrastruktūras attīstība" pirmās projektu iesniegumu atlases kārtas īstenošanas noteikumi" (Latvijas Vēstnesis, 2024, 148.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 aizsardzības ministra pienākumu izpildītāja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26-TA-260</w:t>
    </w:r>
    <w:r>
      <w:br/>
    </w:r>
    <w:r w:rsidR="00000000" w:rsidRPr="00000000" w:rsidDel="00000000">
      <w:rPr>
        <w:rtl w:val="0"/>
      </w:rPr>
      <w:t xml:space="preserve">Izdrukāts 30.07.2026. 00.23 - 1.0.VK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26-TA-260</w:t>
    </w:r>
    <w:r>
      <w:br/>
    </w:r>
    <w:r w:rsidR="00000000" w:rsidRPr="00000000" w:rsidDel="00000000">
      <w:rPr>
        <w:rtl w:val="0"/>
      </w:rPr>
      <w:t xml:space="preserve">Izdrukāts 30.07.2026. 00.23 - 1.0.VK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noteikumu_(grozījumu)_projekts_26-TA-260.docx</dc:title>
</cp:coreProperties>
</file>

<file path=docProps/custom.xml><?xml version="1.0" encoding="utf-8"?>
<Properties xmlns="http://schemas.openxmlformats.org/officeDocument/2006/custom-properties" xmlns:vt="http://schemas.openxmlformats.org/officeDocument/2006/docPropsVTypes"/>
</file>