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16.07.2024. noteikumu Nr. 463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Darbspēju zaudējums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(SSK–10: C81–C96; D46)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Limfomas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 piecu gadu novērošana pēc pilnas remisijas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remisijas fāzē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mieloleikoze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Mielodisplastiskais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aplastiskā anēmija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Mieloproliferatīvās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Hemofīlijas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Trombocitopēnijas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Diabētiskas retinopātijas gadījumā darbspēju zaudējumu skatīt šā pielikuma VIII nodaļā (acu 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Nosaka pēc orgānu funkciju traucējumu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 atbilstošajās nodaļās)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(SSK–10: F00–F99)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nepārtrauktas norises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F20.3</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F20.9</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 (reizi divos gados),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 III–IV funkcionālās klases sirds mazspēju un/vai augsta riska ritma traucējumiem, kas nav koriģējami medikamentozi un kam veiktas specializētu EKS vai kardioverteru–defibrilatoru implantācijas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 I–II pakāpes nieru mazspēja un nefrotisks sindroms aktivitātē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(SSK–10: S00–S99; T00–T98)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nevadošā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 un atslēgas 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Pleca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w:t>
            </w:r>
            <w:r>
              <w:br/>
            </w:r>
            <w:r w:rsidR="00000000" w:rsidRPr="00000000" w:rsidDel="00000000">
              <w:rPr>
                <w:rtl w:val="0"/>
              </w:rPr>
              <w:t xml:space="preserve">60–40 grādu, abdukcija 170–120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w:t>
            </w:r>
            <w:r>
              <w:br/>
            </w:r>
            <w:r w:rsidR="00000000" w:rsidRPr="00000000" w:rsidDel="00000000">
              <w:rPr>
                <w:rtl w:val="0"/>
              </w:rPr>
              <w:t xml:space="preserve">35–30 grādu, abdukcija 115–75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Augšdelms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Elkoņa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 5–20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Apakšdelms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zudums plaukstas locītavas vai plaukstas pamata kaulu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funkciju traucējumi – deformācija, muskuļu spēka samazināšanās, satvēriena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pirksti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pirksts (īkšķis)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starpfalangu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divās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pirksts (rādītājs)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ceturtais vai piektais pirksts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plaukstas vairāki pirksti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visu pirkstu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četru pirkstu (II–III–IV–V)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Pirkstu trūkums: 1. pirksta zudums – abu falangu amputācija, pārējos pirkstos – ne mazāk kā pamatfalangas vidējās trešdaļas līmenī</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Iegurnis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Apakšējā ekstremitāte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Gūžas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kaula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ne mazāka par 20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mazāka par 30 grādiem; ekstensija 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eksartikulācija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pēdas locītavā (dorsālfleksija 0–30 grādu, plantārā fleksija 0–70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pirksti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tromboflebīts ar limfostāzi, trofikas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Ķermeņa virsmas 1 % pielīdzināms pacienta plaukstas lielumam.</w:t>
            </w:r>
            <w:r>
              <w:tab/>
            </w:r>
            <w:r>
              <w:br/>
            </w:r>
            <w:r w:rsidR="00000000" w:rsidRPr="00000000" w:rsidDel="00000000">
              <w:rPr>
                <w:i w:val="1"/>
                <w:rtl w:val="0"/>
              </w:rPr>
              <w:t xml:space="preserve">2. Rētaudu radīto funkciju traucējumu pakāpes izvērtējums – sk. atbilstošo lokalizāciju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Dažādas etioloģijas ādas saslimšanas (dermatozes</w:t>
            </w:r>
            <w:r w:rsidR="00000000" w:rsidRPr="00000000" w:rsidDel="00000000">
              <w:rPr>
                <w:rtl w:val="0"/>
              </w:rPr>
              <w:t xml:space="preserve">) </w:t>
            </w:r>
            <w:r>
              <w:br/>
            </w:r>
            <w:r w:rsidR="00000000" w:rsidRPr="00000000" w:rsidDel="00000000">
              <w:rPr>
                <w:rtl w:val="0"/>
              </w:rPr>
              <w:t xml:space="preserve">(SSK–10: L00–L99)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Šajā pielikumā neminēts veselības traucējums, kurš ir pielīdzināms kādam no šajā pielikumā norādītajiem veselības traucējumiem atbilstoši tā saistībai ar kādu ķermeņa daļu vai funkciju**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Ja personai ir vairāki veselības traucējumi, darbspēju zaudējumu nosaka, ņemot vērā smagāko veselības traucējumu. Katram konkrētajam veselības traucējumam atbilstošās vērtības nesummē.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 (turpmāk – profesionālie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Ja darbspēju zaudējums paredzēts noteiktā diapazonā, izvēloties konkrētu lielumu, ņem vērā pārējo tā paša cēloņa veselības traucējumu ietekmi uz ikdienas dzīves aktivitātēm un profesionālos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Darbspēju zaudējums nevar būt lielāks par 100 %. Ja darbspēju zaudējums ir no 25  % līdz 59 %, personai nosaka III invaliditātes grupu, ja no 60 % līdz 79 %,  nosaka II invaliditātes grupu, ja no 80 % līdz 100 %, nosaka I invaliditātes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  Darbspēju zaudējuma procentuālo apmēru nosaka atbilstoši šajā pielikumā norādītajiem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Koriģētais redzes asums līdz traumai****</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24-TA-2282</w:t>
    </w:r>
    <w:r>
      <w:br/>
    </w:r>
    <w:r w:rsidR="00000000" w:rsidRPr="00000000" w:rsidDel="00000000">
      <w:rPr>
        <w:rtl w:val="0"/>
      </w:rPr>
      <w:t xml:space="preserve">Izdrukāts 29.07.2026. 23.38 - 2.0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noteikumu_konsolidētā_versija_p6_24-TA-2282.docx</dc:title>
</cp:coreProperties>
</file>

<file path=docProps/custom.xml><?xml version="1.0" encoding="utf-8"?>
<Properties xmlns="http://schemas.openxmlformats.org/officeDocument/2006/custom-properties" xmlns:vt="http://schemas.openxmlformats.org/officeDocument/2006/docPropsVTypes"/>
</file>