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būvniecības perioda ietekmes korekcijas koeficients (K</w:t>
      </w:r>
      <w:r w:rsidR="00000000" w:rsidRPr="00000000" w:rsidDel="00000000">
        <w:rPr>
          <w:rStyle w:val="paragraph_header"/>
          <w:b w:val="1"/>
          <w:vertAlign w:val="subscript"/>
          <w:rtl w:val="0"/>
        </w:rPr>
        <w:t xml:space="preserve">bp</w:t>
      </w:r>
      <w:r w:rsidR="00000000" w:rsidRPr="00000000" w:rsidDel="00000000">
        <w:rPr>
          <w:rStyle w:val="paragraph_header"/>
          <w:b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Savrupmājas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nolietojums,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1991.–2000.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2001.–2014.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2015.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Daudzfunkcionālās ēkas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nolietojums,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1991.–2000.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2001.–2014.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2015.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Ēku grupa "Komercēkas un publiskās ēkas" un apakšgrupas "Ražošanas ēkas", "Noliktavas", "Lauksaimniecības noliktavas", "Kūtis un zvērkopības ēkas"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nolietojums,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1991.–2000.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2001.–2014.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2015.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