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25.septembra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Nacionālais stratēģiskas nozīmes preču un pakalpojumu saraksts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17"/>
        <w:gridCol w:w="2217"/>
        <w:gridCol w:w="2217"/>
        <w:gridCol w:w="7327"/>
        <w:gridCol w:w="7327"/>
        <w:tblGridChange w:id="0">
          <w:tblGrid>
            <w:gridCol w:w="2217"/>
            <w:gridCol w:w="2217"/>
            <w:gridCol w:w="2217"/>
            <w:gridCol w:w="7327"/>
            <w:gridCol w:w="7327"/>
          </w:tblGrid>
        </w:tblGridChange>
      </w:tblGrid>
      <w:tr>
        <w:tc>
          <w:tcPr>
            <w:shd w:fill="ffffff"/>
            <w:vAlign w:val="center"/>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Sadaļa</w:t>
            </w:r>
          </w:p>
        </w:tc>
        <w:tc>
          <w:tcPr>
            <w:shd w:fill="ffffff"/>
            <w:vAlign w:val="center"/>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10A901</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Vītņstobra šaujamieroči munīcijai ar apmales (rantes) kapsulu, to sastāvdaļas, palīgierīces un munīcija</w:t>
            </w:r>
          </w:p>
        </w:tc>
      </w:tr>
      <w:tr>
        <w:tc>
          <w:tcPr>
            <w:shd w:fill="ffffff"/>
            <w:vAlign w:val="top"/>
            <w:trHeight w="exact" w:val="60"/>
            <w:noWrap w:val="true"/>
            <w:vMerge w:val="restart"/>
            <w:gridSpan w:val="3"/>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10A902</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Lidaparātu komponentes, ierīces un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(sk. Eiropas Savienības Kopējo militāro preču sarakstu)</w:t>
            </w:r>
          </w:p>
        </w:tc>
      </w:tr>
      <w:tr>
        <w:tc>
          <w:tcPr>
            <w:shd w:fill="ffffff"/>
            <w:vAlign w:val="center"/>
            <w:noWrap w:val="true"/>
            <w:vMerge w:val="contin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Licence ir nepieciešama tikai tādu 10A902. sadaļā minēto lidaparātu komponenšu, ierīču un daļu importam, eksportam, tranzītam un pārvietošanai uz/no Eiropas Savienības dalībvalstīm, kuras ir izmantojamas gan civilajos, gan militārajos lidaparātos</w:t>
            </w:r>
          </w:p>
        </w:tc>
      </w:tr>
      <w:tr>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Izņēmumi</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10A902. sadaļa nepakļauj licencēšanai lidaparātu komponentes, ierīces un daļas, kas paredzētas to starptautisko aviokompāniju civilo gaisa kuģu remontam vai apkopei, kuras veic regulārus starptautiskus civilos lidojumus.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10A902. sadaļa nepakļauj licencēšanai lidaparātu komponenšu, ierīču un daļu importu, eksportu un pārvietošanu no/uz Eiropas Savienības dalībvalstīm, ja tās ir paredzētas minēto darbību veicējam piederošu civilo lidaparātu remontam vai apkopei un lidaparāti atrodas Latvijas Republikas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10A902. sadaļa nepakļauj licencēšanai lidaparātu komponenšu, ierīču un daļu importu, eksportu, tranzītu un pārvietošanu no/uz Eiropas Savienības dalībvalstīm, ja tās ir paredzētas tādu civilo lidaparātu remontam vai apkopei, kas tiek izmantoti Eiropas Savienības, NATO vai ANO misijās.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10A902. sadaļa nepakļauj licencēšanai lidaparātu pasažieru salonu aprīkojumu un pasažieru apkalpošanas iekārtas</w:t>
            </w:r>
          </w:p>
        </w:tc>
      </w:tr>
      <w:tr>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10A903</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Pneimatiskie ieroči ar enerģiju, lielāku par 12 džouliem</w:t>
            </w:r>
          </w:p>
        </w:tc>
      </w:tr>
      <w:tr>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10A904</w:t>
            </w:r>
          </w:p>
        </w:tc>
        <w:tc>
          <w:tcPr>
            <w:shd w:fill="ffffff"/>
            <w:vAlign w:val="top"/>
            <w:trHeight w="exact" w:val="12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18"/>
                <w:rtl w:val="0"/>
              </w:rPr>
              <w:t xml:space="preserve">(Svītrota ar MK 04.10.2016. noteikumiem Nr. 648)</w:t>
            </w:r>
            <w:r w:rsidR="00000000" w:rsidRPr="00000000" w:rsidDel="00000000">
              <w:rPr>
                <w:rtl w:val="0"/>
              </w:rPr>
              <w:t xml:space="preserve"> </w:t>
            </w:r>
          </w:p>
        </w:tc>
      </w:tr>
      <w:tr>
        <w:tc>
          <w:tcPr>
            <w:shd w:fill="ffffff"/>
            <w:vAlign w:val="top"/>
            <w:noWrap w:val="true"/>
            <w:vMerge w:val="restart"/>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10A905</w:t>
            </w:r>
          </w:p>
        </w:tc>
        <w:tc>
          <w:tcPr>
            <w:shd w:fill="ffffff"/>
            <w:vAlign w:val="top"/>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Sevišķā veidā veicamiem operatīvās darbības pasākumiem vai to traucēšanai speciāli radītas vai pielāgotas iekārtas, ierīces vai instrumenti, komponentes un programmatūra</w:t>
            </w:r>
          </w:p>
        </w:tc>
      </w:tr>
      <w:tr>
        <w:tc>
          <w:tcPr>
            <w:shd w:fill="ffffff"/>
            <w:vAlign w:val="center"/>
            <w:noWrap w:val="true"/>
            <w:vMerge w:val="contin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Kontrolei tiek pakļauts 10A905. sadaļā minēto iekārtu, ierīču, instrumentu, komponenšu un programmatūras imports, pārvietošana no Eiropas Savienības dalībvalstīm, ražošana, lietošana un glabāšana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ierīces audioinformācijas ieguvei slēptā veidā:</w:t>
            </w:r>
          </w:p>
        </w:tc>
      </w:tr>
      <w:tr>
        <w:tc>
          <w:tcPr>
            <w:shd w:fill="ffffff"/>
            <w:vAlign w:val="top"/>
            <w:noWrap w:val="true"/>
            <w:vMerge w:val="restart"/>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ierīces audioinformācijas ieguvei, kurām piemīt kāda no turpmāk minētajām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tās ir speciāli izstrādātas, pielāgotas vai pārveidotas audioinformācijas ieguvei slēptā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tās ir maskētas kā citi priekšmeti, iekārtas vai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tās ir ieslēptas vai maskētas citā priekšmetā, iekārtā, ierīcē vai konstrukcijā</w:t>
            </w:r>
          </w:p>
        </w:tc>
      </w:tr>
      <w:tr>
        <w:tc>
          <w:tcPr>
            <w:shd w:fill="ffffff"/>
            <w:vAlign w:val="center"/>
            <w:noWrap w:val="true"/>
            <w:vMerge w:val="contin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mikrofoni, vērsti mikrofoni, atstarotā stara, tajā skaitā lāzera stara, noklausīšanās ierīces vai cita veida skaņas noņēmēji, kas ir speciāli izstrādāti, pielāgoti vai pārveidoti audioinformācijas ieguvei slēptā veidā</w:t>
            </w:r>
          </w:p>
        </w:tc>
      </w:tr>
      <w:tr>
        <w:tc>
          <w:tcPr>
            <w:shd w:fill="ffffff"/>
            <w:vAlign w:val="center"/>
            <w:noWrap w:val="true"/>
            <w:vMerge w:val="contin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raidītāji, uztvērēji vai atkārtotāji, kas ir speciāli izstrādāti, pielāgoti vai pārveidoti audioinformācijas ieguvei slēptā veidā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Izņēmumi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10A905. sadaļas "a" apakšpunktu nepiemēro: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mobilajiem tālruņiem, viedtālruņiem un viedpulksteņiem, ja tie nav speciāli pārveidoti vai pielāgoti operatīvās darbības pasākumu veikšanai slēptā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portatīviem un stacionāriem datoriem, kā arī planšetdatoriem, ja tie nav speciāli pārveidoti vai pielāgoti operatīvās darbības pasākumu veikšanai slēptā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citām rūpnieciski izgatavotām un nepārveidotām ierīcēm, kuras ir aprīkotas ar mikrofonu un funkcionāli spēj veikt audioinformācijas ieguvi, taču ir paredzētas citiem mērķiem (piemēram, diktofoni, fotokameras, signalizācijas sistēmas, televizori, bērnu uzraudzības ierīces un līdzīgas ierīces)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ierīces slēptai videonovērošanai vai fotodokumentēšanai un videodokumentēšanai:</w:t>
            </w:r>
          </w:p>
        </w:tc>
      </w:tr>
      <w:tr>
        <w:tc>
          <w:tcPr>
            <w:shd w:fill="ffffff"/>
            <w:vAlign w:val="top"/>
            <w:noWrap w:val="true"/>
            <w:vMerge w:val="restart"/>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fotokameras un videokameras, kurām piemīt kāda no turpmāk minētajām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tās ir speciāli izstrādātas, pielāgotas vai pārveidotas slēptai videonovērošanai vai fotodokumentēšanai un videodokumentēšanai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tās ir maskētas kā citi priekšmeti, iekārtas vai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tās ir ieslēptas vai maskētas citā priekšmetā, iekārtā, ierīcē, konstrukcijā vai līdzīgā ierīcē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to izmērs ir 40 x 40 x 40 mm vai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to diametrs ir 25 mm vai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tās ir aprīkotas ar "adatas acs" tipa lēcu (</w:t>
            </w:r>
            <w:r w:rsidR="00000000" w:rsidRPr="00000000" w:rsidDel="00000000">
              <w:rPr>
                <w:i w:val="1"/>
                <w:rtl w:val="0"/>
              </w:rPr>
              <w:t xml:space="preserve">pinhole lens</w:t>
            </w:r>
            <w:r w:rsidR="00000000" w:rsidRPr="00000000" w:rsidDel="00000000">
              <w:rPr>
                <w:rtl w:val="0"/>
              </w:rPr>
              <w:t xml:space="preserve">)</w:t>
            </w:r>
          </w:p>
        </w:tc>
      </w:tr>
      <w:tr>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raidītāji, uztvērēji vai atkārtotāji, kas ir speciāli izstrādāti, pielāgoti vai pārveidoti slēptai videonovērošanai vai fotodokumentēšanai un videodokumentēšanai</w:t>
            </w:r>
          </w:p>
        </w:tc>
      </w:tr>
      <w:tr>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 vai videoieraksta ierīces (ar iebūvētu kameru vai bez tās), kas speciāli izstrādātas, pielāgotas vai pārveidotas slēptai videonovērošanai vai fotodokumentēšanai un videodokumentēšanai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Izņēmumi</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10A905. sadaļas "b" apakšpunktu nepiemēro: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mobilo telefonu, viedtālruņu, viedpulksteņu un datoru kamerām, kā arī tīmekļkamerām, ja tās nav speciāli pārveidotas vai pielāgotas operatīvās darbības pasākumu veikšanai slēptā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slēptām un maskētām foto vai videokamerām, kas speciāli izstrādātas savvaļas dzīvnieku slēptai novērošanai vai dokumentēšanai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auto videoreģistratoriem, atpakaļskata kamerām un novietošanai stāvvietā (</w:t>
            </w:r>
            <w:r w:rsidR="00000000" w:rsidRPr="00000000" w:rsidDel="00000000">
              <w:rPr>
                <w:i w:val="1"/>
                <w:rtl w:val="0"/>
              </w:rPr>
              <w:t xml:space="preserve">parking</w:t>
            </w:r>
            <w:r w:rsidR="00000000" w:rsidRPr="00000000" w:rsidDel="00000000">
              <w:rPr>
                <w:rtl w:val="0"/>
              </w:rPr>
              <w:t xml:space="preserve">) paredzētām kamerām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fotokamerām vai videokamerām, kuras atbilst 10A905. sadaļas b.1. apakšpunktā minētajām fotokamerām vai videokamerām, bet ir apsardzes sistēmas sastāvdaļa un nav speciāli pārveidotas vai pielāgotas operatīvās darbības pasākumu veikšanai slēptā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fotokamerām vai videokamerām, kuras pēc izmēra atbilst 10A905. sadaļas b.1. apakšpunktā minētajām fotokamerām vai videokamerām, bet ir speciāli paredzētas citiem mērķiem, – zondes, fibroskopi, endoskopi, bērnu uzraudzības ierīces, hobiju kameras (piemēram, sporta, mednieku, makšķernieku un tamlīdzīgas kameras)</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ierīces analogo, ciparu vai mobilo telekomunikāciju sarunu vai citas informācijas pārtveršanai no tehniskajiem līdzekļiem vai sakaru kanāliem slēptā veidā</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ierīces "slēptai iekļūšanai" telpās, transportlīdzekļos vai citos objektos:</w:t>
            </w:r>
          </w:p>
        </w:tc>
      </w:tr>
      <w:tr>
        <w:tc>
          <w:tcPr>
            <w:shd w:fill="ffffff"/>
            <w:vAlign w:val="top"/>
            <w:noWrap w:val="true"/>
            <w:gridSpan w:val="4"/>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10A905. sadaļas izpratnē "slēpta iekļūšana" nozīmē mehānisko, elektronisko vai citu slēdzeņu atvēršanu vai to kodu noteikšanu slēptā veidā</w:t>
            </w:r>
          </w:p>
        </w:tc>
      </w:tr>
      <w:tr>
        <w:tc>
          <w:tcPr>
            <w:shd w:fill="ffffff"/>
            <w:vAlign w:val="top"/>
            <w:noWrap w:val="true"/>
            <w:vMerge w:val="restart"/>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rentgena iekārtas slēdzeņu caurskatīšanai</w:t>
            </w:r>
          </w:p>
        </w:tc>
      </w:tr>
      <w:tr>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universālās atslēgas (</w:t>
            </w:r>
            <w:r w:rsidR="00000000" w:rsidRPr="00000000" w:rsidDel="00000000">
              <w:rPr>
                <w:i w:val="1"/>
                <w:rtl w:val="0"/>
              </w:rPr>
              <w:t xml:space="preserve">master keys</w:t>
            </w:r>
            <w:r w:rsidR="00000000" w:rsidRPr="00000000" w:rsidDel="00000000">
              <w:rPr>
                <w:rtl w:val="0"/>
              </w:rPr>
              <w:t xml:space="preserve">)</w:t>
            </w:r>
          </w:p>
        </w:tc>
      </w:tr>
      <w:tr>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mūķīzeri un citi instrumenti slēdzeņu atvēršanai</w:t>
            </w:r>
          </w:p>
        </w:tc>
      </w:tr>
      <w:tr>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elektroniskie slēdzeņu kodu noteicēji un programmatori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ierīces operatīvās darbības pasākumu noteikšanai, lokalizēšanai un/vai traucēšanai: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 arī Eiropas Savienības Kopējo militāro preču sarakstu)</w:t>
            </w:r>
          </w:p>
        </w:tc>
      </w:tr>
      <w:tr>
        <w:tc>
          <w:tcPr>
            <w:shd w:fill="ffffff"/>
            <w:vAlign w:val="top"/>
            <w:noWrap w:val="true"/>
            <w:vMerge w:val="restart"/>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ierīces vai programmatūra, kas speciāli izstrādāta, pielāgota vai pārveidota, lai noteiktu vai lokalizētu tādas iekārtas, ierīces un programmatūru, kas tiek izmantota operatīvās darbības pasākumos</w:t>
            </w:r>
          </w:p>
        </w:tc>
      </w:tr>
      <w:tr>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10A905. sadaļas e.1. apakšpunktu nepiemēro "atklātībā pieejamai" programmatūrai.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10A905. sadaļas izpratnē "atklātībā pieejama" programmatūra ir programmatūra, kas ir darīta pieejama bez ierobežojumiem turpmākai izplatīšanai (autortiesību noteiktie ierobežojumi programmatūru nepadara par tādu, kas nav "atklātībā pieejama")</w:t>
            </w:r>
          </w:p>
        </w:tc>
      </w:tr>
      <w:tr>
        <w:tc>
          <w:tcPr>
            <w:shd w:fill="ffffff"/>
            <w:vAlign w:val="top"/>
            <w:noWrap w:val="true"/>
            <w:vMerge w:val="restart"/>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elektromagnētiskā, akustiskā un cita starojuma veida ģeneratori</w:t>
            </w:r>
          </w:p>
        </w:tc>
      </w:tr>
      <w:tr>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10A905. sadaļas e.2. apakšpunktā ietilpst tādi ģeneratori, kas speciāli izstrādāti, pielāgoti vai pārveidoti, lai raidītu traucējošus vai nepareizus signālus, tādējādi pārtraucot vai traucējot citu iekārtu darbību vai samazinot to darbības efektivitāti</w:t>
            </w:r>
          </w:p>
        </w:tc>
      </w:tr>
      <w:tr>
        <w:tc>
          <w:tcPr>
            <w:shd w:fill="ffffff"/>
            <w:vAlign w:val="top"/>
            <w:trHeight w="exact" w:val="60"/>
            <w:noWrap w:val="true"/>
            <w:vMerge w:val="restart"/>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10A907</w:t>
            </w:r>
          </w:p>
        </w:tc>
        <w:tc>
          <w:tcPr>
            <w:shd w:fill="ffffff"/>
            <w:vAlign w:val="bottom"/>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Kājnieku mīnas (sk. Eiropas Savienības Kopējo militāro preču sarakstu).</w:t>
            </w:r>
          </w:p>
        </w:tc>
      </w:tr>
      <w:tr>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Kājnieku mīnu eksports un tranzīts ir aizliegts</w:t>
            </w:r>
          </w:p>
        </w:tc>
      </w:tr>
      <w:tr>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10D</w:t>
            </w:r>
          </w:p>
        </w:tc>
        <w:tc>
          <w:tcPr>
            <w:shd w:fill="ffffff"/>
            <w:vAlign w:val="bottom"/>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Programmatūras</w:t>
            </w:r>
          </w:p>
        </w:tc>
      </w:tr>
      <w:tr>
        <w:tc>
          <w:tcPr>
            <w:shd w:fill="ffffff"/>
            <w:vAlign w:val="top"/>
            <w:trHeight w="exact" w:val="60"/>
            <w:noWrap w:val="true"/>
            <w:vMerge w:val="restart"/>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10D901</w:t>
            </w:r>
          </w:p>
        </w:tc>
        <w:tc>
          <w:tcPr>
            <w:shd w:fill="ffffff"/>
            <w:vAlign w:val="bottom"/>
            <w:trHeight w="exact" w:val="12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Sevišķā veidā veicamiem operatīvās darbības pasākumiem speciāli radītas vai pielāgotas programmatūras, kas speciāli radītas vai pielāgotas informācijas iegūšanai no datoriem, datoru tīkliem vai citām informācijas sistēmām vai šīs informācijas iznīcināšanai vai izmainīšanai slēptā veidā</w:t>
            </w:r>
          </w:p>
        </w:tc>
      </w:tr>
      <w:tr>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10D901. sadaļa attiecas uz minēto programmatūru eksportu, importu, pilnveidošanu, lietošanu, ražošanu un glabāšanu</w:t>
            </w:r>
          </w:p>
        </w:tc>
      </w:tr>
      <w:tr>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10E</w:t>
            </w:r>
          </w:p>
        </w:tc>
        <w:tc>
          <w:tcPr>
            <w:shd w:fill="ffffff"/>
            <w:vAlign w:val="bottom"/>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Tehnoloģijas</w:t>
            </w:r>
          </w:p>
        </w:tc>
      </w:tr>
      <w:tr>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10E901</w:t>
            </w:r>
          </w:p>
        </w:tc>
        <w:tc>
          <w:tcPr>
            <w:shd w:fill="ffffff"/>
            <w:vAlign w:val="bottom"/>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Tehnoloģijas 10A905 minēto iekārtu pilnveidošanai, ražošanai un lietošanai</w:t>
            </w:r>
          </w:p>
        </w:tc>
      </w:tr>
      <w:tr>
        <w:tc>
          <w:tcPr>
            <w:shd w:fill="ffffff"/>
            <w:vAlign w:val="top"/>
            <w:trHeight w="exact" w:val="60"/>
            <w:noWrap w:val="true"/>
            <w:vMerge w:val="restart"/>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10E902</w:t>
            </w:r>
          </w:p>
        </w:tc>
        <w:tc>
          <w:tcPr>
            <w:shd w:fill="ffffff"/>
            <w:vAlign w:val="bottom"/>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Militāra rakstura pakalpojumi</w:t>
            </w:r>
          </w:p>
        </w:tc>
      </w:tr>
      <w:tr>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bottom"/>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Militāra rakstura pakalpojumi ietver jebkuru tehnisko palīdzību, kas saistīta ar militāro iekārtu ražošanu, pilnveidošanu, montāžu, izmēģināšanu, apkalpošanu vai jebkuru citu tehnisku pakalpojumu, kas var izpausties kā instruktāža, apmācība, praktisko iemaņu nodošana vai konsultācijas, tai skaitā mutiski</w:t>
            </w:r>
          </w:p>
        </w:tc>
      </w:tr>
      <w:tr>
        <w:tc>
          <w:tcPr>
            <w:shd w:fill="ffffff"/>
            <w:vAlign w:val="top"/>
            <w:trHeight w="exact" w:val="60"/>
            <w:noWrap w:val="true"/>
            <w:vMerge w:val="restart"/>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Izņēmumi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Militāra rakstura pakalpojumus sniedz Eiropas Savienības dalībvalstīm, Ziemeļatlantijas līguma organizācijas (NATO) dalībvalstīm, Austrālijai, Japānai, Jaunzēlandei un Šveicei</w:t>
            </w:r>
          </w:p>
        </w:tc>
      </w:tr>
      <w:tr>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Militāra rakstura pakalpojums ir publiski pieejams vai fundamentālu zinātnisku pētījumu informācijas veidā</w:t>
            </w:r>
          </w:p>
        </w:tc>
      </w:tr>
      <w:tr>
        <w:tc>
          <w:tcPr>
            <w:shd w:fill="ffffff"/>
            <w:vAlign w:val="center"/>
            <w:noWrap w:val="true"/>
            <w:vMerge w:val="contin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Militāra rakstura pakalpojums ir mutisks. Tas nav saistīts ar precēm, uz kurām attiecas viena vai vairāku starptautisko eksporta kontroles režīmu, konvenciju vai līgumu noteiktās eksporta kontroles prasības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24-TA-171</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24-TA-171</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noteikumu_konsolidētā_versija_p_24-TA-171.docx</dc:title>
</cp:coreProperties>
</file>

<file path=docProps/custom.xml><?xml version="1.0" encoding="utf-8"?>
<Properties xmlns="http://schemas.openxmlformats.org/officeDocument/2006/custom-properties" xmlns:vt="http://schemas.openxmlformats.org/officeDocument/2006/docPropsVTypes"/>
</file>