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likumā "Par izložu un azartspēļu nodevu un nodokli""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izložu un azartspēļu nodevu un nodokli" (Latvijas Republikas Saeimas un Ministru Kabineta Ziņotājs, 1994, 14. nr.; 1995, 22. nr.; 1997, 9. nr.; 1999, 17., 24. nr.; 2001, 15., 24. nr.; 2003, 2., 15., 20., 23. nr.; 2005, 14. nr.; 2007, 8. nr.; 2009, 14. nr.; Latvijas Vēstnesis, 2011, 65., 204. nr.; 2013, 194. nr.; 2015, 248. nr.; 2016, 241. nr.; 2017, 156., 242. nr.; 2019, 118., 240. nr.; 2023, 247.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2. panta ceturtajā daļā skaitli "37 000" ar skaitli "45 000".</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1. un 2. punktā skaitli "33 696" ar skaitli "40 440";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punktā skaitli "6204" ar skaitli "7440";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un trešajā daļā skaitli "15" ar skaitli "18";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skaitli "10" ar skaitli "12";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skaitli "12" ar skaitli "15".</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Aizstāt 7. panta 1., 2. un 3. punktā skaitli "10" ar skaitli "15".</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pārejas noteikumus ar 16.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"16. Grozījumi šā likuma 3. panta pirmās daļas 1., 2. un 3. punktā, otrajā, trešajā, ceturtajā un piektajā daļā attiecībā uz nodokļa likmes noteikšanu (attiecīgi – 40 440 </w:t>
      </w:r>
      <w:r w:rsidR="00000000" w:rsidRPr="00000000" w:rsidDel="00000000">
        <w:rPr>
          <w:i w:val="1"/>
          <w:rtl w:val="0"/>
        </w:rPr>
        <w:t xml:space="preserve">euro </w:t>
      </w:r>
      <w:r w:rsidR="00000000" w:rsidRPr="00000000" w:rsidDel="00000000">
        <w:rPr>
          <w:rtl w:val="0"/>
        </w:rPr>
        <w:t xml:space="preserve">apmērā ruletei (cilindriskajai spēlei) un kāršu un kauliņu spēlēm, 7440 </w:t>
      </w:r>
      <w:r w:rsidR="00000000" w:rsidRPr="00000000" w:rsidDel="00000000">
        <w:rPr>
          <w:i w:val="1"/>
          <w:rtl w:val="0"/>
        </w:rPr>
        <w:t xml:space="preserve">euro </w:t>
      </w:r>
      <w:r w:rsidR="00000000" w:rsidRPr="00000000" w:rsidDel="00000000">
        <w:rPr>
          <w:rtl w:val="0"/>
        </w:rPr>
        <w:t xml:space="preserve">apmērā azartspēļu automātiem, 18 procentu apmērā no veiksmes spēles pa tālruni un no totalizatora un derību organizēšanas ieņēmumiem, 12 procentu apmērā no bingo organizēšanas ieņēmumiem, kā arī 15 procentu apmērā no to azartspēļu organizēšanas ieņēmumiem, kuras organizē, izmantojot telekomunikācijas) stājas spēkā 2027. gada 1. janvārī."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24-TA-2319</w:t>
    </w:r>
    <w:r>
      <w:br/>
    </w:r>
    <w:r w:rsidR="00000000" w:rsidRPr="00000000" w:rsidDel="00000000">
      <w:rPr>
        <w:rtl w:val="0"/>
      </w:rPr>
      <w:t xml:space="preserve">Izdrukāts 29.07.2026. 23.35 - 1.0.VK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24-TA-2319</w:t>
    </w:r>
    <w:r>
      <w:br/>
    </w:r>
    <w:r w:rsidR="00000000" w:rsidRPr="00000000" w:rsidDel="00000000">
      <w:rPr>
        <w:rtl w:val="0"/>
      </w:rPr>
      <w:t xml:space="preserve">Izdrukāts 29.07.2026. 23.35 - 1.0.VK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likumprojekts_(grozījumi)_24-TA-2319.docx</dc:title>
</cp:coreProperties>
</file>

<file path=docProps/custom.xml><?xml version="1.0" encoding="utf-8"?>
<Properties xmlns="http://schemas.openxmlformats.org/officeDocument/2006/custom-properties" xmlns:vt="http://schemas.openxmlformats.org/officeDocument/2006/docPropsVTypes"/>
</file>