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Labklājības ministrijai palielināt Atveseļošanas un noturības mehānisma plāna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(turpmāk – 3.1.2.3.i. investīcija) otrās kārtas īstenošanai nepieciešamo papildu finansējumu 3 903 507 </w:t>
      </w:r>
      <w:r w:rsidR="00000000" w:rsidRPr="00000000" w:rsidDel="00000000">
        <w:rPr>
          <w:i w:val="1"/>
          <w:rtl w:val="0"/>
        </w:rPr>
        <w:t xml:space="preserve">euro </w:t>
      </w:r>
      <w:r w:rsidR="00000000" w:rsidRPr="00000000" w:rsidDel="00000000">
        <w:rPr>
          <w:rtl w:val="0"/>
        </w:rPr>
        <w:t xml:space="preserve">apmērā, ja saņemts pozitīvs Eiropas Komisijas viedoklis par iesniegtajiem Latvijas Atveseļošanas un noturības mehānisma plāna grozījumiem attiecībā uz konkrētajām investīcijām pirms galīgā Eiropas Komisijas lēmuma pieņemšanas, izdevumus priekšfinansējot no valsts budžeta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 3.1.2.3.i. investīcijas otrajā kārtā šādu mērķrādītāju noteikšanu un to sasniegšanu šādos termiņos: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30. jūnijam - 18 līgumu noslēgšana ar pašvaldībām par projektu īstenošanu (pēc Eiropas Komisijas lēmuma par Atveseļošanas un noturības mehānisma plāna grozījumu priekšlikumiem  – 17 līgumu noslēgšana ar pašvaldībām par projektu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2024. gada 31. decembrim (pēc Eiropas Komisijas lēmuma par Atveseļošanas un noturības mehānisma plāna grozījumu priekšlikumiem  – līdz 2026. gada 30. jūnijam) – jaunu vietu nodrošināšana 852 senioriem tādu ilgtermiņa aprūpes pakalpojumu saņemšanai, kas pietuvināti ģimeniskai videi.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Labklājības ministrijai iesniegt Ministru kabinetā priekšlikumus rīcībai gadījumā, ja netiek saņemts pozitīvs Eiropas Komisijas lēmums par Atveseļošanas un noturības mehānisma plāna grozījumu priekšlikumiem, kas paredz mērķrādītāju sasniegšanu protokollēmuma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noteiktajos termiņos un protokollēmuma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minētā mērķrādītāja vērtības samazināšanu.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likumprojekta par valsts budžetu 2024. gadam un budžeta ietvaru 2024., 2025. un 2026. gadam izstrādes procesā,  izvērtējot  valsts budžeta iespējas, izstrādāt priekšlikumu pašvaldību  aizņemšanās iespējām  3.1.2.3.i. investīcijas otrās kārtas projekta īstenošanai, tajā skaitā  papildu  pašvaldības izmaksām līdz 10 procentiem no projekta Atveseļošanas fonda finansējuma.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22-TA-3345</w:t>
    </w:r>
    <w:r>
      <w:br/>
    </w:r>
    <w:r w:rsidR="00000000" w:rsidRPr="00000000" w:rsidDel="00000000">
      <w:rPr>
        <w:rtl w:val="0"/>
      </w:rPr>
      <w:t xml:space="preserve">Izdrukāts 29.07.2026. 22.02 - 5.0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mk_sēdes_protokollēmuma_projekts_22-TA-3345.docx</dc:title>
</cp:coreProperties>
</file>

<file path=docProps/custom.xml><?xml version="1.0" encoding="utf-8"?>
<Properties xmlns="http://schemas.openxmlformats.org/officeDocument/2006/custom-properties" xmlns:vt="http://schemas.openxmlformats.org/officeDocument/2006/docPropsVTypes"/>
</file>