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2016. gada 15. jūlija noteikumos Nr. 477 "Speciālās izglītības iestāžu un vispārējās izglītības iestāžu speciālās izglītības klašu (grupu) finansēšanas kārtība""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Papildu nepieciešamais finansējums 2023.gada četriem mēnešiem 61 191 </w:t>
      </w:r>
      <w:r w:rsidR="00000000" w:rsidRPr="00000000" w:rsidDel="00000000">
        <w:rPr>
          <w:i w:val="1"/>
          <w:rtl w:val="0"/>
        </w:rPr>
        <w:t xml:space="preserve">euro</w:t>
      </w:r>
      <w:r w:rsidR="00000000" w:rsidRPr="00000000" w:rsidDel="00000000">
        <w:rPr>
          <w:rtl w:val="0"/>
        </w:rPr>
        <w:t xml:space="preserve"> apmērā tiks nodrošināts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Jautājums par papildu nepieciešamo finansējumu 2024.gadam, 2025.gadam un 2026.gadam izskatāms Ministru kabinetā likumprojekta “Par valsts budžetu 2024. gadam un budžeta ietvaru 2024., 2025. un 2026. gadam” sagatavošanas un izskatīšanas procesā kopā ar visu ministriju un centrālo valsts iestāžu prioritāro pasākumu pieteikumiem atbilstoši valsts budžeta finansiālajām iespējām.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23-TA-1153</w:t>
    </w:r>
    <w:r>
      <w:br/>
    </w:r>
    <w:r w:rsidR="00000000" w:rsidRPr="00000000" w:rsidDel="00000000">
      <w:rPr>
        <w:rtl w:val="0"/>
      </w:rPr>
      <w:t xml:space="preserve">Izdrukāts 29.07.2026. 22.03 - 4.0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mk_sēdes_protokollēmuma_projekts_23-TA-1153.docx</dc:title>
</cp:coreProperties>
</file>

<file path=docProps/custom.xml><?xml version="1.0" encoding="utf-8"?>
<Properties xmlns="http://schemas.openxmlformats.org/officeDocument/2006/custom-properties" xmlns:vt="http://schemas.openxmlformats.org/officeDocument/2006/docPropsVTypes"/>
</file>