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nodrošināt  Eiropas Savienības struktūrfondu un Kohēzijas fonda 2014. —2020. gada plānošanas perioda 9.2.5. specifiskā atbalsta mērķa "Uzlabot pieejamību ārstniecības un ārstniecības atbalsta personām, kas sniedz pakalpojumus prioritārajās veselības jomās iedzīvotājiem, kas dzīvo ārpus Rīgas" projekta 9.2.5.0/17/I/001 "Ārstniecības un ārstniecības atbalsta personu pieejamības uzlabošana ārpus Rīgas" ietvarā noslēgto kompensācijas līgumu, ar Neatliekamās medicīniskās palīdzības dienesta ārstniecības personām, grozījumu veikšanu.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25-TA-886</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mk_sēdes_protokollēmuma_projekts_25-TA-886.docx</dc:title>
</cp:coreProperties>
</file>

<file path=docProps/custom.xml><?xml version="1.0" encoding="utf-8"?>
<Properties xmlns="http://schemas.openxmlformats.org/officeDocument/2006/custom-properties" xmlns:vt="http://schemas.openxmlformats.org/officeDocument/2006/docPropsVTypes"/>
</file>