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5. maijā (prot. Nr. 25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(Latvijas Vēstnesis, 2022, 136. nr.; 2024, 52., 248. nr.; 2025, 122., 240.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Reformu un investīciju virziena investīciju kopēji sasniedzamie mērķi, sasniegšanas termiņi un sasniegšanas apliecinājumi ir noteikti šo noteikumu 1.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investīcijai 2.1.1.1.i. pieejamais finansējums ir 13 313 886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investīcijai 2.1.2.1.i. pieejamais finansējums ir 69 301 478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investīcijai 2.1.3.1.i. pieejamais finansējums ir 34 007 176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13.15.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"13.15. līdz 2026. gada 31. maijam iesniedz noslēguma maksājuma dokumentāciju saskaņā ar projekta īstenošanas līgumu. Ja saskaņota projekta aktivitāšu īstenošana pēc 2026. gada 31. maija atbilstoši šo noteikumu 13.15.</w:t>
      </w:r>
      <w:r w:rsidR="00000000" w:rsidRPr="00000000" w:rsidDel="00000000">
        <w:rPr>
          <w:vertAlign w:val="superscript"/>
          <w:rtl w:val="0"/>
        </w:rPr>
        <w:t xml:space="preserve">1</w:t>
      </w:r>
      <w:r w:rsidR="00000000" w:rsidRPr="00000000" w:rsidDel="00000000">
        <w:rPr>
          <w:rtl w:val="0"/>
        </w:rPr>
        <w:t xml:space="preserve"> apakšpunktam, tad līdz 2026. gada 31. maijam iesniedz projekta rādītāju sasniegšanu pamatojošo dokumentāciju saskaņā ar projekta īstenošanas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13.15.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"13.15.</w:t>
      </w:r>
      <w:r w:rsidR="00000000" w:rsidRPr="00000000" w:rsidDel="00000000">
        <w:rPr>
          <w:vertAlign w:val="superscript"/>
          <w:rtl w:val="0"/>
        </w:rPr>
        <w:t xml:space="preserve">1</w:t>
      </w:r>
      <w:r w:rsidR="00000000" w:rsidRPr="00000000" w:rsidDel="00000000">
        <w:rPr>
          <w:rtl w:val="0"/>
        </w:rPr>
        <w:t xml:space="preserve"> šo noteikumu 1. pielikumā norādītajiem projektu īstenotājiem ir tiesības pagarināt projekta papildinošo aktivitāšu īstenošanu līdz 2026. gada 31. oktobrim, ja projekta rādītāji ir sasniegti līdz 2026. gada 31.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16.3.8.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"16.3.8. līdz 2026. gada 31. augustam veic projekta noslēguma dokumentācijas pārbaudi. Ja saskaņota projekta aktivitāšu īstenošana pēc 2026. gada 31. maija, tad līdz 2026. gada 31. augustam veic projekta rādītāju sasniegšanu pamatojošās dokumentācijas pārbaudi un līdz 2026. gada 31. decembrim – noslēguma progresa pārskata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18.1.4.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"18.1.4. līdz 2026. gada 31. augustam veic projekta noslēguma dokumentācijas pārbaudi. Ja saskaņota projekta aktivitāšu īstenošana pēc 2026. gada 31. maija, tad līdz 2026. gada 31. augustam veic projekta rādītāju sasniegšanu pamatojošās dokumentācijas pārbaudi un līdz 2026. gada 31. decembrim – noslēguma progresa pārskata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32.4.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vertAlign w:val="superscript"/>
          <w:rtl w:val="0"/>
        </w:rPr>
        <w:t xml:space="preserve">1</w:t>
      </w:r>
      <w:r w:rsidR="00000000" w:rsidRPr="00000000" w:rsidDel="00000000">
        <w:rPr>
          <w:rtl w:val="0"/>
        </w:rPr>
        <w:t xml:space="preserve"> citu investīciju projektiem – šo noteikumu 32.4. apakšpunktā minētās izmaksas, ja attiecīgo aktivitāti izpilda investīcijas 2.1.2.2.i. projekta īstenotājs un tā iekļaujas attiecīgās investīcijas tvērumā un ir nepieciešama, lai investīcijas 2.1.2.2.i. īstenotājs var nodrošināt šo noteikumu 32.3.1. apakšpunktā minētos mākoņdatošanas pakalpojumus citu investīciju īstenošanas vai ilgtspējas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32.6.1.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"32.6.1. ieviešamo IKT risinājumu administratoru un lietotāju apmācību, ar projekta darbībām tieši saistīto informatīvo, publicitātes un vizuālās identitātes pasākumu izmaksas, nepārsniedzot trīs procentus no plānotajām projekta kopējām attiecināmajām izmaksām. Projektā, kurā tiek nodrošināts atbalsts atvērtās zinātnes ieviešanai praksē, izmaksu apjoms nepārsniedz sešus procentus no plānotajām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"32.11. finansējuma saņēmējiem un sadarbības partneriem projekta vadīšanai un īstenošanai nepieciešamās informācijas un komunikācijas tehnoloģiju aparatūras un iekārtu iegādes vai nomas, kā arī biroja aprīkojuma izmaksas, tai skaitā standarta biroja programmatūras licenču iegāde vai noma projekta vadībā un īstenošanā iesaistītā personāla IKT iekārtām uz projekta īstenošanas laiku, nepārsniedzot trīs procentus no plānotajām projekta kopējām attiecināmajām izmaksām, kas izmantojamas projektā paredzēto darbību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investīcijas 2.1.1.1.i. projektos nepārsniedz 10 % no plānotajām projekta kopējām attiecināmajām izmaksām, izņemot investīcijas 2.1.1.1.i. nolūka "Valsts pārvaldes IKT attīstības projektu programmu un arhitektūras pārvaldība" projektu, uz kuru šajā apakšpunktā paredzētais projekta īstenošanas personāla izmaksu proporcijas ierobežojums netiek attiecināts;".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investīciju 2.1.2.1.i., 2.1.2.2.i. un 2.1.3.1.i. projektos nepārsniedz 20 % no plānotajām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26-TA-514</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26-TA-514</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noteikumu_(grozījumu)_projekts_26-TA-514.docx</dc:title>
</cp:coreProperties>
</file>

<file path=docProps/custom.xml><?xml version="1.0" encoding="utf-8"?>
<Properties xmlns="http://schemas.openxmlformats.org/officeDocument/2006/custom-properties" xmlns:vt="http://schemas.openxmlformats.org/officeDocument/2006/docPropsVTypes"/>
</file>