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Atveseļošanas un noturības mehānisma plāna 1. komponentes "Klimata pārmaiņas un vides ilgtspēja" 1.3. reformu un investīciju virziena "Pielāgošanās klimata pārmaiņām" 1.3.1.2.i. investīcijas "Investīcijas plūdu risku mazināšanas infrastruktūrā"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Eiropas Savienības Atveseļošanas un noturības mehānisma plāna 1. komponentes "Klimata pārmaiņas un vides ilgtspēja" 1.3. reformu un investīciju virziena "Pielāgošanās klimata pārmaiņām" 1.3.1.2.i. investīcijas "Investīcijas plūdu risku mazināšanas infrastruktūrā" (turpmāk – investīcija) īstenošanai nepieciešamo pievienotās vērtības nodokļa segšanu no valsts budžeta līdzekļiem, nepārsniedzot 6 923 070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noteikumu projekta stāšanās spēkā Zemkopības ministrijai pieprasīt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finansējumu 39 890 070 </w:t>
      </w:r>
      <w:r w:rsidR="00000000" w:rsidRPr="00000000" w:rsidDel="00000000">
        <w:rPr>
          <w:i w:val="1"/>
          <w:rtl w:val="0"/>
        </w:rPr>
        <w:t xml:space="preserve">euro</w:t>
      </w:r>
      <w:r w:rsidR="00000000" w:rsidRPr="00000000" w:rsidDel="00000000">
        <w:rPr>
          <w:rtl w:val="0"/>
        </w:rPr>
        <w:t xml:space="preserve"> apmērā investīcijas īstenošanai, tai skaitā šā protokollēmuma 2. punktā minētā pievienotās vērtības nodokļa izmaksu segšanai.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22-TA-3179</w:t>
    </w:r>
    <w:r>
      <w:br/>
    </w:r>
    <w:r w:rsidR="00000000" w:rsidRPr="00000000" w:rsidDel="00000000">
      <w:rPr>
        <w:rtl w:val="0"/>
      </w:rPr>
      <w:t xml:space="preserve">Izdrukāts 30.07.2026. 00.04 - 1.0.VK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mk_sēdes_protokollēmuma_projekts_22-TA-3179.docx</dc:title>
</cp:coreProperties>
</file>

<file path=docProps/custom.xml><?xml version="1.0" encoding="utf-8"?>
<Properties xmlns="http://schemas.openxmlformats.org/officeDocument/2006/custom-properties" xmlns:vt="http://schemas.openxmlformats.org/officeDocument/2006/docPropsVTypes"/>
</file>