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martā (prot. Nr. 10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23. maija noteikumos Nr. 259 "Valsts un Eiropas Savienības atbalsta piešķiršanas kārtība dzīvnieku, sējumu un stādījumu apdrošināšanai 2023.–2027.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23. maija noteikumos Nr. 259 "Valsts un Eiropas Savienības atbalsta piešķiršanas kārtība dzīvnieku, sējumu un stādījumu apdrošināšanai 2023.–2027. gada plānošanas periodā" (Latvijas Vēstnesis, 2023, 100. nr.; 2024, 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tādu atbalsta pretendenta zaudējumu segšanu, kurus dzīvniekiem, sējumu un stādījumu platībām radījusi šāda riska iestāšanās: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nelabvēlīgi klimatiskie apstākļi;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uguns;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dzīvnieku vai augu slimība, izņemot slimības, kas minētas normatīvajos aktos par valsts uzraudzībā esošās dzīvnieku infekcijas slimības vai epizootijas uzliesmojuma laikā radušos zaudējumu kompensāciju;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 augu kaitēkļu invāzija;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7.1.5. plēsēju nodarītie postījumi ganāmpulkā;".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apdrošināšanas polisē norādītais dzīvnieku skaits nepārsniedz lauksaimniecības dzīvnieku, ganāmpulku un novietņu reģistrā norādīto dzīvnieku skaitu apdrošināšanas līguma noslēgšanas dienā vai tuvākajā datumā pirms apdrošināšanas līguma noslēgšanas dienas tām sugām, par kurām atbilstoši normatīvajiem aktiem par lauksaimniecības un akvakultūras dzīvnieku, to ganāmpulku un novietņu reģistrēšanas un lauksaimniecības dzīvnieku apzīmēšanu dzīvnieku skaits jāziņo reizi mēnesī vai divas reizes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Atbalsta intensitāte ir 50 procentu no apdrošināšanas prēmijas attiecināmajiem izdevumiem, bet ne vairāk kā: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10.1. 50</w:t>
      </w:r>
      <w:r w:rsidR="00000000" w:rsidRPr="00000000" w:rsidDel="00000000">
        <w:rPr>
          <w:i w:val="1"/>
          <w:rtl w:val="0"/>
        </w:rPr>
        <w:t xml:space="preserve"> euro</w:t>
      </w:r>
      <w:r w:rsidR="00000000" w:rsidRPr="00000000" w:rsidDel="00000000">
        <w:rPr>
          <w:rtl w:val="0"/>
        </w:rPr>
        <w:t xml:space="preserve"> par vienu hektāru (izņemot par šo noteikumu 10.2. apakšpunktā minētajām kultūrām) vai vienu liellopu vienību (1. pielikums) un ne vairāk kā 65 </w:t>
      </w:r>
      <w:r w:rsidR="00000000" w:rsidRPr="00000000" w:rsidDel="00000000">
        <w:rPr>
          <w:i w:val="1"/>
          <w:rtl w:val="0"/>
        </w:rPr>
        <w:t xml:space="preserve">euro</w:t>
      </w:r>
      <w:r w:rsidR="00000000" w:rsidRPr="00000000" w:rsidDel="00000000">
        <w:rPr>
          <w:rtl w:val="0"/>
        </w:rPr>
        <w:t xml:space="preserve"> par vienu hektāru, ja ziemāju kultūra ir gājusi bojā un attiecīgajā platībā pavasarī ir iesēta vasarāju kultūra;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10.2. 200 </w:t>
      </w:r>
      <w:r w:rsidR="00000000" w:rsidRPr="00000000" w:rsidDel="00000000">
        <w:rPr>
          <w:i w:val="1"/>
          <w:rtl w:val="0"/>
        </w:rPr>
        <w:t xml:space="preserve">euro</w:t>
      </w:r>
      <w:r w:rsidR="00000000" w:rsidRPr="00000000" w:rsidDel="00000000">
        <w:rPr>
          <w:rtl w:val="0"/>
        </w:rPr>
        <w:t xml:space="preserve"> par vienu hektāru, kas ilgtspēju sekmējošo ienākumu pamatatbalstam ir deklarēts ar kultūraugu un zemes izmantošanas kodu no 5., 6. un 7. kultūraugu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kārtējā gadā spēkā esošas apdrošināšanas polisi (kopiju), kura stājas spēkā ne vēlāk kā iesniegumu iesniegšanas kārtas pēdējā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Lauku atbalsta dienests atbalstu izmaksā bezskaidras naudas norēķinu veidā uz atbalsta saņēmēja kontu, kas atvērts pie Maksājumu pakalpojumu un elektroniskās naudas likuma 2. panta otrās daļas 1., 2., 4., 7. un 8. punktā minētā maksājumu pakalpojumu sniedzēja."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24-TA-2815</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24-TA-2815</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noteikumu_(grozījumu)_projekts_24-TA-2815.docx</dc:title>
</cp:coreProperties>
</file>

<file path=docProps/custom.xml><?xml version="1.0" encoding="utf-8"?>
<Properties xmlns="http://schemas.openxmlformats.org/officeDocument/2006/custom-properties" xmlns:vt="http://schemas.openxmlformats.org/officeDocument/2006/docPropsVTypes"/>
</file>