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Civilprocesa likumā (Latvijas Republikas Saeimas un Ministru Kabineta Ziņotājs, 1998, 23. nr.; 2001, 15. nr.; 2002, 24. nr.; 2003, 15. nr.; 2004, 6., 10., 14., 20. nr.; 2005, 7., 14. nr.; 2006, 1., 13., 20., 24. nr.; 2007, 3., 24. nr.; 2008, 13. nr.; 2009, 2., 6., 14. nr.; Latvijas Vēstnesis, 2009, 205. nr.; 2010, 166., 183., 206. nr.; 2011, 16., 95., 132., 148. nr.; 2012, 50., 100., 190., 197. nr.; 2013, 87., 112., 188. nr.; 2014, 2., 41., 63., 108., 194., 228. nr.; 2015, 42., 91., 118., 227., 251. nr.; 2016, 31., 123., 241., 249. nr.; 2017, 117., 132., 216., 259. nr.; 2018, 53., 119., 225. nr.; 2019, 52. nr.; 2020, 199., 213., 243. nr.; 2021, 22., 65.A, 121.B, 227., 239.A, 248.B nr.; 2022, 120., 128. nr.; 2023, 62., 190., 203. nr.; 2024, 119., 128.A nr.; 2025, 52.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572.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pantu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572.</w:t>
      </w:r>
      <w:r w:rsidR="00000000" w:rsidRPr="00000000" w:rsidDel="00000000">
        <w:rPr>
          <w:b w:val="1"/>
          <w:vertAlign w:val="superscript"/>
          <w:rtl w:val="0"/>
        </w:rPr>
        <w:t xml:space="preserve">2</w:t>
      </w:r>
      <w:r w:rsidR="00000000" w:rsidRPr="00000000" w:rsidDel="00000000">
        <w:rPr>
          <w:b w:val="1"/>
          <w:rtl w:val="0"/>
        </w:rPr>
        <w:t xml:space="preserve"> pants. Valsts ieņēmumu dienesta un valsts akciju sabiedrības </w:t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Valsts nekustamie īpašumi</w:t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 tiesības un pienākumi izpildu lietās par mantas konfiskācijas izpildi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Izpildu lietās par mantas konfiskācijas izpildi Valsts ieņēmumu dienestam un valsts akciju sabiedrībai "Valsts nekustamie īpašumi" ir visas šajā likumā noteiktās piedzinēja tiesības un pienākumi."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591.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trešajā un piektajā daļā vārdus "Valsts ieņēmumu dienestam" ar vārdiem "kompetentajai institūcijai, kura nodrošina rīcību ar valstij piekritīgo mantu".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618.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trešajā daļā vārdus "Valsts ieņēmumu dienestam" ar vārdiem "kompetentajai institūcijai, kura nodrošina rīcību ar valstij piekritīgo mantu".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25-TA-2188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25-TA-2188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