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augustā (prot. Nr. 38 82.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8. februāra noteikumos Nr. 112 "Kārtība, kādā piešķiramas un izlietojamas mērķdotācijas investīcijām pašvaldībām"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Reģionālās attīstības likuma</w:t>
      </w:r>
      <w:r w:rsidR="00000000" w:rsidRPr="00000000" w:rsidDel="00000000">
        <w:rPr>
          <w:rStyle w:val="paragraph"/>
          <w:i w:val="1"/>
          <w:rtl w:val="0"/>
        </w:rPr>
        <w:t xml:space="preserve"> </w:t>
      </w:r>
      <w:r w:rsidR="00000000" w:rsidRPr="00000000" w:rsidDel="00000000">
        <w:rPr>
          <w:rStyle w:val="paragraph"/>
          <w:i w:val="1"/>
          <w:rtl w:val="0"/>
        </w:rPr>
        <w:t xml:space="preserve">14. panta</w:t>
      </w:r>
      <w:r w:rsidR="00000000" w:rsidRPr="00000000" w:rsidDel="00000000">
        <w:rPr>
          <w:rStyle w:val="paragraph"/>
          <w:i w:val="1"/>
          <w:rtl w:val="0"/>
        </w:rPr>
        <w:t xml:space="preserve"> 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8. februāra noteikumos Nr. 112 "Kārtība, kādā piešķiramas un izlietojamas mērķdotācijas investīcijām pašvaldībām" (Latvijas Vēstnesis, 2022, 33.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Pašvaldības, kuras saskaņā ar šo noteikumu 14. punktu aģentūras pagarinātajā iepirkuma līgumu noslēgšanas termiņā nav tos noslēgušas, var lūgt aģentūru, pamatojot nepārvaramas varas vai citu objektīvu apstākļu ietekmi uz iepirkuma līguma noslēgšanas termiņu, attiecināt arī tos investīciju projekta īstenošanai nepieciešamos iepirkuma līgumus, kas noslēgti līdz 2023. gada 31. augustam, vienlaikus nodrošinot attiecīgā projekta (tajā skaitā būvdarbu, ja attiecināms) īstenošanas pabeigšanu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Pašvaldības, kuru investīciju projekti ir atbalstīti ar Ministru kabineta 2022. gada 31. maija rīkojumu Nr. 403 "Par atbalstītajiem pašvaldību augstas gatavības mērķdotāciju investīciju projektiem 2022. gadā" un kuras šo noteikumu 4.6. apakšpunktā norādītajā termiņā nav izmantojušas valsts budžeta finansējumu noteiktajā apmērā, var lūgt aģentūru, pamatojot nepārvaramas varas vai citu objektīvu apstākļu ietekmi uz nespēju apgūt finansējumu, pārskatīt valsts budžeta finansējuma sadalījumu 2022. un 2023.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Investīciju projektus, par kuriem šo noteikumu 14.</w:t>
      </w:r>
      <w:r w:rsidR="00000000" w:rsidRPr="00000000" w:rsidDel="00000000">
        <w:rPr>
          <w:vertAlign w:val="superscript"/>
          <w:rtl w:val="0"/>
        </w:rPr>
        <w:t xml:space="preserve">1</w:t>
      </w:r>
      <w:r w:rsidR="00000000" w:rsidRPr="00000000" w:rsidDel="00000000">
        <w:rPr>
          <w:rtl w:val="0"/>
        </w:rPr>
        <w:t xml:space="preserve"> punktā noteiktajā kārtībā saņemta informācija, ko aģentūra izskatījusi un atzinusi par pamatotu, pašvaldības īsteno, izmantojot tām pieejamo finansējumu, kā arī attiecīgajiem investīciju projektiem 2023. gadam paredzēto valsts budžeta finansējumu atbilstoši Ministru kabineta 2022. gada 31. maija rīkojumam Nr. 403 "Par atbalstītajiem pašvaldību augstas gatavības mērķdotāciju investīciju projektiem 2022. gadā"."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23-TA-1615</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23-TA-1615</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noteikumu_(grozījumu)_projekts_23-TA-1615.docx</dc:title>
</cp:coreProperties>
</file>

<file path=docProps/custom.xml><?xml version="1.0" encoding="utf-8"?>
<Properties xmlns="http://schemas.openxmlformats.org/officeDocument/2006/custom-properties" xmlns:vt="http://schemas.openxmlformats.org/officeDocument/2006/docPropsVTypes"/>
</file>