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18. februārī (prot. Nr. 7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30. jūnija noteikumos Nr. 408 "Latvijas Zinātnes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30. jūnija noteikumos Nr. 408 "Latvijas Zinātnes padomes nolikums" (Latvijas Vēstnesis, 2020, 123A. nr.; 2021, 124. nr.; 2022, 189.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Latvijas Zinātnes padome (turpmāk – padome) ir izglītības un zinātnes ministra pārraudzībā esoša tiešās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veic Eiropas Savienības pētniecības un inovāciju pamatprogrammas "Apvārsnis Eiropa" (</w:t>
      </w:r>
      <w:r w:rsidR="00000000" w:rsidRPr="00000000" w:rsidDel="00000000">
        <w:rPr>
          <w:i w:val="1"/>
          <w:rtl w:val="0"/>
        </w:rPr>
        <w:t xml:space="preserve">Horizon Europe</w:t>
      </w:r>
      <w:r w:rsidR="00000000" w:rsidRPr="00000000" w:rsidDel="00000000">
        <w:rPr>
          <w:rtl w:val="0"/>
        </w:rPr>
        <w:t xml:space="preserve">) 2021.–2027. gadam (turpmāk – pamatprogramma "Apvārsnis Eiropa") nacionālā kontaktpunkta funkcijas un, sākot ar 2028. gadu, 10. Ietvara programmas 2028.–2034. gadam Latvijas nacionālā kontaktpunkta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nodrošina Latvijas dalību Eiropas Savienības pētniecības un inovāciju pamatprogrammas "Apvārsnis 2020" (</w:t>
      </w:r>
      <w:r w:rsidR="00000000" w:rsidRPr="00000000" w:rsidDel="00000000">
        <w:rPr>
          <w:i w:val="1"/>
          <w:rtl w:val="0"/>
        </w:rPr>
        <w:t xml:space="preserve">Horizon 2020</w:t>
      </w:r>
      <w:r w:rsidR="00000000" w:rsidRPr="00000000" w:rsidDel="00000000">
        <w:rPr>
          <w:rtl w:val="0"/>
        </w:rPr>
        <w:t xml:space="preserve">) </w:t>
      </w:r>
      <w:r w:rsidR="00000000" w:rsidRPr="00000000" w:rsidDel="00000000">
        <w:rPr>
          <w:i w:val="1"/>
          <w:rtl w:val="0"/>
        </w:rPr>
        <w:t xml:space="preserve">ERA-NET Cofund</w:t>
      </w:r>
      <w:r w:rsidR="00000000" w:rsidRPr="00000000" w:rsidDel="00000000">
        <w:rPr>
          <w:rtl w:val="0"/>
        </w:rPr>
        <w:t xml:space="preserve"> projektos, pamatprogrammas "Apvārsnis Eiropa" </w:t>
      </w:r>
      <w:r w:rsidR="00000000" w:rsidRPr="00000000" w:rsidDel="00000000">
        <w:rPr>
          <w:i w:val="1"/>
          <w:rtl w:val="0"/>
        </w:rPr>
        <w:t xml:space="preserve">COFUND</w:t>
      </w:r>
      <w:r w:rsidR="00000000" w:rsidRPr="00000000" w:rsidDel="00000000">
        <w:rPr>
          <w:rtl w:val="0"/>
        </w:rPr>
        <w:t xml:space="preserve"> aktivitātēs, tostarp Eiropas Partnerībās, Programmas līmeņa sadarbības starp valstu P&amp;I politikas veidotājiem koordinācijas un atbalsta darbībās, kopīgajās programmās, ko īsteno vairākas Eiropas Savienības dalībvalstis saskaņā ar Līguma par Eiropas Savienības darbību 185. pantu vai struktūrās, kuras izveidotas, ievērojot Līguma par Eiropas Savienības darbību 187. pantu, kā arī Eiropas sadarbībā zinātnes un tehnoloģiju jomā (</w:t>
      </w:r>
      <w:r w:rsidR="00000000" w:rsidRPr="00000000" w:rsidDel="00000000">
        <w:rPr>
          <w:i w:val="1"/>
          <w:rtl w:val="0"/>
        </w:rPr>
        <w:t xml:space="preserve">COST</w:t>
      </w:r>
      <w:r w:rsidR="00000000" w:rsidRPr="00000000" w:rsidDel="00000000">
        <w:rPr>
          <w:rtl w:val="0"/>
        </w:rPr>
        <w:t xml:space="preserve">) un </w:t>
      </w:r>
      <w:r w:rsidR="00000000" w:rsidRPr="00000000" w:rsidDel="00000000">
        <w:rPr>
          <w:i w:val="1"/>
          <w:rtl w:val="0"/>
        </w:rPr>
        <w:t xml:space="preserve">EUREKA</w:t>
      </w:r>
      <w:r w:rsidR="00000000" w:rsidRPr="00000000" w:rsidDel="00000000">
        <w:rPr>
          <w:rtl w:val="0"/>
        </w:rPr>
        <w:t xml:space="preserve"> 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nodrošina Eiropas Savienības fondu projektu vadību un īstenošanu, ja padome ir projekta iesniedzējs un finansējuma saņēmējs, kā arī veic finansējuma saņēmēja sadarbības partnera pienākumus, tostarp kā finansējuma saņēmējs Eiropas Savienības kohēzijas politikas programmas 2021.–2027. gadam 1.1.1. specifiskā atbalsta mērķa "Pētniecības un inovāciju kapacitātes stiprināšana un progresīvu tehnoloģiju ieviešana kopējā P&amp;A sistēmā" 1.1.1.5. pasākuma "Latvijas pilnvērtīga dalība pamatprogrammā Apvārsnis Eiropa, tajā skaitā nodrošinot kompleksu atbalsta instrumentu klāstu un sasaisti ar RIS3 specializācijas jomu attīstīšanu" pirmajā un otrajā projektu iesniegumu atlases kārtā, projektā Nr. 1.1.1.5./1/24/I/001 "Atbalsts Latvijas dalībai starptautiskās pētniecības un inovācijas programmās" un 1.1.1.9. pasākuma "Pēcdoktorantūras pētījumi" projektā Nr. 1.1.1.9/1/24/I/001 "Pēcdoktorantūras pētījumi", kā arī kā finansējuma saņēmēja sadarbības partneris 1.1.1.1. pasākuma "Zinātnes politikas īstenošana, vadība un kapacitātes stiprināšana" projektā Nr. 1.1.1.1/1/24/I/001 "Efektīvāka un viedāka Latvijas zinātnes politikas ieviešana un vadība";".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nodrošina aģentūras funkciju izpildi Eiropas Ekonomikas zonas un Norvēģijas finanšu instrumenta programmās un Šveices un Latvijas sadarbības programmā "Lietišķā pētniecība" atbilstoši normatīvajam regulējumam par programmu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nodrošina Eiropas Ekonomikas zonas un Norvēģijas finanšu instrumenta līdzfinansēto programmu un projektu apsaimniekošanu pētniecībā, kā arī veic Šveices un Latvijas sadarbības programmas "Lietišķā pētniecība" starpniekinstitūcijas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piedalās integrētās Latvijas zinātnes portāla https://researchLatvia.gov.lv satura veidošanā un stratēģiskās komunikācijas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Padome funkcijas un uzdevumus veic atbilstoši vidēja termiņa darbības un attīstības stratēģijai, kārtējā gada darbības plānam un kārtējā gada budžetam."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normatīvajos aktos noteiktajā kārtībā atbilstoši kompetencei pieprasa un saņem no valsts un pašvaldību institūcijām, biedrībām un nodibinājumiem, fiziskajām un juridiskajām personām un to apvienībām funkciju un uzdevumu izpildei nepieciešamo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atbilstoši padomes funkcijām, kompetencei un uzdevumiem slēdz līgumus ar valsts un pašvaldību institūcijām, biedrībām un nodibinājumiem, fiziskajām un juridiskajām personām un to apvienībām;".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Padomes direktoru ieceļ amatā un atbrīvo no amata Valsts civildienesta likumā un Zinātniskās darbības likuma 14. panta trešajā daļā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15.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16.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24-TA-2606</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24-TA-2606</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noteikumu_(grozījumu)_projekts_24-TA-2606.docx</dc:title>
</cp:coreProperties>
</file>

<file path=docProps/custom.xml><?xml version="1.0" encoding="utf-8"?>
<Properties xmlns="http://schemas.openxmlformats.org/officeDocument/2006/custom-properties" xmlns:vt="http://schemas.openxmlformats.org/officeDocument/2006/docPropsVTypes"/>
</file>