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Elektroenerģijas neto norēķinu sistēmas ietvaros maksimāli pieļaujamais elektrotīklā nodotās un pašpatēriņam neizmantotās elektroenerģijas pārpalikums 12 mēnešu periodā lietotājiem, kas izmanto universālo neto norēķinu sistēmas pakalpojumu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28"/>
        <w:gridCol w:w="3080"/>
        <w:gridCol w:w="3080"/>
        <w:gridCol w:w="3080"/>
        <w:gridCol w:w="3080"/>
        <w:tblGridChange w:id="0">
          <w:tblGrid>
            <w:gridCol w:w="3028"/>
            <w:gridCol w:w="3080"/>
            <w:gridCol w:w="3080"/>
            <w:gridCol w:w="3080"/>
            <w:gridCol w:w="3080"/>
          </w:tblGrid>
        </w:tblGridChange>
      </w:tblGrid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pieslēguma fāžu skaits</w:t>
            </w:r>
          </w:p>
        </w:tc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Elektroenerģijas ražošanas iekārtas jauda (kilovatos)</w:t>
            </w:r>
          </w:p>
        </w:tc>
        <w:tc>
          <w:tcPr>
            <w:shd w:fill="dddddd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Maksimāli pieļaujamais saražotās elektroenerģijas pārpalikums (kilovatstundās)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saules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vēja elektrostacijām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citām elektrostacijām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1840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3154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2453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</w:t>
            </w:r>
          </w:p>
        </w:tc>
      </w:tr>
      <w:tr>
        <w:tc>
          <w:tcPr>
            <w:shd w:fill="dddddd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līdz 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6132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10512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4555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7972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13666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13,001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5606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9811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16819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7008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12264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21024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9110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15943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27331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26,001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11213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19622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33638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32,001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14016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24528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42048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40,001</w:t>
            </w:r>
            <w:r w:rsidR="00000000" w:rsidRPr="00000000" w:rsidDel="00000000">
              <w:rPr>
                <w:rtl w:val="0"/>
              </w:rPr>
              <w:t xml:space="preserve">–</w:t>
            </w:r>
            <w:r w:rsidR="00000000" w:rsidRPr="00000000" w:rsidDel="00000000">
              <w:rPr>
                <w:sz w:val="28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17520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30660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8"/>
                <w:rtl w:val="0"/>
              </w:rPr>
              <w:t xml:space="preserve">52560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23-TA-3256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23-TA-3256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noteikumu_konsolidētā_versija_p_23-TA-3256.docx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