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valsts pensijām"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1996, 1., 24. nr.; 1997, 3., 13. nr.; 1998, 1., 24. nr.; 1999, 11., 23. nr.; 2002, 2. nr.; 2004, 6. nr.; 2005, 13., 24. nr.; 2006, 24. nr.; 2007, 24. nr.; 2008, 7., 10., 14. nr.; 2009, 8., 15. nr.; Latvijas Vēstnesis, 2009, 199. nr.; 2010, 16., 205. nr.; 2011, 202. nr.; 2012, 104. nr.; 2013, 112., 137., 194. nr.; 2014, 75. nr.; 2015, 122. nr.; 2016, 57., 241. nr.; 2017, 128. nr.; 2018, 87., 196. nr.; 2019, 240. nr.; 2020, 240.A, 250. nr.; 2022, 137.A nr.; 2023, 57.A, 75., 116.A., 226.,247.nr.)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ievaddaļas pirmo un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1990. gada 31. decembrim Latvijas pilsoņiem apdrošināšanas stāžam ir pielīdzināms Latvijas teritorijā uzkrātais darba un tam pielīdzinātais periods, šā punkta 1., 2., un 10. apakšpunktā minētais ārpus Latvijas uzkrātais periods, kā arī, ja šīs personas apdrošināšanās stāžs Latvijā pēc 1996. gada 1. janvāra ir vismaz 20 gadi  – bijušās PSRS teritorijā uzkrātie darba un tam pielīdzinātie periodi, ja šajā teritorijā nav spēkā regula Nr. 883/2004 vai Saeimas apstiprināts starptautisks līgums. Ārvalstniekiem, bezvalstniekiem un Latvijas nepilsoņiem apdrošināšanas stāžam ir pielīdzināms Latvijas teritorijā uzkrātais darba un tam pielīdzinātais periods, šā punkta 10. apakšpunktā minētais ārpus Latvijas uzkrātais periods, kā arī, ja šīs personas apdrošināšanās stāžs Latvijā pēc 1996. gada 1. janvāra ir vismaz 20 gadi - šā punkta 4. un 5. apakšpunktā norādītie bijušās PSRS teritorijā uzkrātie darbam pielīdzinātie periodi, ja šajā teritorijā nav spēkā regula Nr. 883/2004 vai Saeimas apstiprināts starptautisks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Nosakot apdrošināšanas stāžu līdz 1995.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atsevišķa apdrošināšanas perioda ilgumu aprēķina no perioda beigu datuma atņemot perioda sākuma datumu un iegūtajam periodam pieskaitot vienu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perioda ilgumu aprēķina, pieņemot, ka mēnesī ir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atsevišķus apdrošināšanas periodus summē un kopējo apdrošināšanas stāžu izsaka gados, mēnešos un dienās.”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24-TA-269</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24-TA-269</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likumprojekts_(grozījumi)_24-TA-269.docx</dc:title>
</cp:coreProperties>
</file>

<file path=docProps/custom.xml><?xml version="1.0" encoding="utf-8"?>
<Properties xmlns="http://schemas.openxmlformats.org/officeDocument/2006/custom-properties" xmlns:vt="http://schemas.openxmlformats.org/officeDocument/2006/docPropsVTypes"/>
</file>