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Eiropas Savienības fondu 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(Latvijas Vēstnesis, 2023, 69. nr.; 2024, 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pasākuma rezultāta rādītājs – līdz 2027. gada 31. decembrim nodrošināts to iedzīvotāju skaits, kas gūst labumu no gaisa kvalitātes pasākumiem, – vismaz 2795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pasākuma nacionālais rādītājs – līdz 2027.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Šo noteikumu 5.1. apakšpunktā minēto rezultāta rādītāja vērtību nosaka atbilstoši personu skaitam, kuras deklarējušas dzīvesvietu dzīvojamā mājā, dzīvokļa īpašumā vai dzīvokļu īpašumos projekta īstenošanas vietā. Vērtību uzskata par sasniegtu, ja, pamatojoties uz datiem par deklarēto iedzīvotāju skaitu projekta noslēguma maksājuma pieprasījuma iesniegšanas dienā, deklarēto iedzīvotāju skaits atbilst projekta iesniegumā norādītajam skaitam. Sasniegtās vērtības apmērs nosakāms, pamatojoties uz datiem par deklarēto iedzīvotāju skaitu projekta noslēguma maksājuma pieprasījuma iesniegšanas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Šo noteikumu 5.2. apakšpunktā minētā nacionālā rādītāja vērtību nosaka atbilstoši projekta iesniegumā un tā pielikumos norādītajai informācijai saskaņā ar Viedās administrācijas un reģionālās attīstības ministrijas izstrādātajiem metodiskajiem norādījumiem par PM</w:t>
      </w:r>
      <w:r w:rsidR="00000000" w:rsidRPr="00000000" w:rsidDel="00000000">
        <w:rPr>
          <w:vertAlign w:val="subscript"/>
          <w:rtl w:val="0"/>
        </w:rPr>
        <w:t xml:space="preserve">2,5</w:t>
      </w:r>
      <w:r w:rsidR="00000000" w:rsidRPr="00000000" w:rsidDel="00000000">
        <w:rPr>
          <w:rtl w:val="0"/>
        </w:rPr>
        <w:t xml:space="preserve"> emisiju samazinājuma aprēķināšanu. Nacionālā rādītāja vērtības sasniegšanu izvērtē, pamatojoties uz datiem projekta noslēguma maksājuma pieprasījuma iesniegšanas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Atbildīgās iestādes funkcijas pasākuma ietvaros pilda Viedās administrācijas un reģionālās attīstības ministrija (turpmāk –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trešajā uzsaukumā vērtē projektus, kur mājsaimniecībās uzstāda biomasas kurināmā katlus, kas piemēroti granulu kurināmajam atbilstoši šo noteikumu 42.1. apakšpunktam. Ja projektu trešā uzsaukuma ietvaros plānots īstenot centralizētās siltumapgādes apkalpošanas zonā 20 metru attālumā no centralizētās siltumapgādes tīkliem, projektu iesniedz ceturtajā uzsaukumā vai šo noteikumu 9.5. apakšpunktā minētajos papildu uzsaukumos;".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ceturtajā uzsaukumā vērtē visu veidu projektus atbilstoši šo noteikumu 42.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papildu uzsaukumos, kas izsludināti atbilstoši šo noteikumu 11. punktam, vērtē visu veidu projektus atbilstoši šo noteikumu 14.</w:t>
      </w:r>
      <w:r w:rsidR="00000000" w:rsidRPr="00000000" w:rsidDel="00000000">
        <w:rPr>
          <w:vertAlign w:val="superscript"/>
          <w:rtl w:val="0"/>
        </w:rPr>
        <w:t xml:space="preserve">1</w:t>
      </w:r>
      <w:r w:rsidR="00000000" w:rsidRPr="00000000" w:rsidDel="00000000">
        <w:rPr>
          <w:rtl w:val="0"/>
        </w:rPr>
        <w:t xml:space="preserve"> un 42.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Pasākumam pieejamais finansējums ir 13 991 383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11 892 674 </w:t>
      </w:r>
      <w:r w:rsidR="00000000" w:rsidRPr="00000000" w:rsidDel="00000000">
        <w:rPr>
          <w:i w:val="1"/>
          <w:rtl w:val="0"/>
        </w:rPr>
        <w:t xml:space="preserve">euro</w:t>
      </w:r>
      <w:r w:rsidR="00000000" w:rsidRPr="00000000" w:rsidDel="00000000">
        <w:rPr>
          <w:rtl w:val="0"/>
        </w:rPr>
        <w:t xml:space="preserve"> un privātais līdzfinansējums – vismaz 2 098 709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pirmajam, otrajam un trešajam uzsaukumam pieejamais Eiropas Reģionālās attīstības fonda finansējums netiek izlietots, atlikušo Eiropas Reģionālās attīstības fonda finansējumu novirza ceturtā uzsaukuma projektu finansēšanai. Ja pieejamais Eiropas Reģionālās attīstības fonda finansējums ceturtajā uzsaukumā netiek izlietots, sadarbības iestāde, vienojoties ar atbildīgo iestādi, var izsludināt papildu uzsaukumus."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9.5. apakšpunktā minēto papildu uzsaukumu ietvaros vienā projektā var īstenot un projektā kombinēt vairākas šo noteikumu 42.1., 42.2. un 42.4. apakšpunktā minētās atbalstāmās darbības. Šādā gadījumā projekta attiecināmās izmaksas nosaka katram dzīvokļa īpašumam atsevišķi atbilstoši šo noteikumu 13. punktam, piemērojot katrai atbalstāmajai darbībai šo noteikumu 14. punktā minētos nosacījumus. Minētos atbalstāmo darbību kombinēšanas nosacījumus var piemērot: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dzīvojamām mājām, kas atbilst šo noteikumu 18.2. un 18.3. apakšpunktā minētajām klasēm;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tādām dzīvojamām mājām, kur projekts tiek īstenots visos dzīvojamās mājas dzīvokļu īpašumos un katram dzīvokļa īpašumam tiek nodrošināts individuāls siltumapgādes risinājums ar vienu šo noteikumu 42.1., 42.2. vai 42.4. apakšpunktā minēto atbalstāmo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 tādam projektam, kuram Eiropas Reģionālās attīstības fonda finansējuma apmērs papildus šo noteikumu 15. punktā minētajam nosacījumam nepārsniedz 31 807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Eiropas Reģionālās attīstības fonda finansējuma apmērs projektā nepārsniedz 4400 </w:t>
      </w:r>
      <w:r w:rsidR="00000000" w:rsidRPr="00000000" w:rsidDel="00000000">
        <w:rPr>
          <w:i w:val="1"/>
          <w:rtl w:val="0"/>
        </w:rPr>
        <w:t xml:space="preserve">euro</w:t>
      </w:r>
      <w:r w:rsidR="00000000" w:rsidRPr="00000000" w:rsidDel="00000000">
        <w:rPr>
          <w:rtl w:val="0"/>
        </w:rPr>
        <w:t xml:space="preserve"> uz vienu iedzīvotāju, kas deklarēts dzīvesvietas adresē dzīvojamā mājā, dzīvokļa īpašumā vai dzīvokļu īpašumos, kur tiek īstenotas projekta aktivitātes,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projekta iesniegumā norādītais iedzīvotāju skaits ir iedzīvotāju skaits, kuri uz projekta iesnieguma iesniegšanas dienu par savu dzīvesvietu deklarējuši projekta īstenošanas 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projekta iesniedzējs apliecina, ka projekta noslēguma maksājuma pieprasīšanas dienā dzīvesvietas adresē dzīvojamā mājā, dzīvokļa īpašumā vai dzīvokļu īpašumos tiks nodrošināts ne mazāks deklarēto iedzīvotāju skaits kā projekta iesnieguma iesniegšanas dienā sadarbības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atbalsta finansējuma apjoms netiek samazināts, ja objektīvu un pierādāmu apstākļu dēļ nav iespējams saglabāt deklarēto iedzīvotāju skaitu projekta dzīvojamā mājā, dzīvokļa īpašumā vai dzīvokļu īpašumos projekta noslēguma maksājuma pieprasīšanas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īpašnieka vai kopīpašnieku pilnvarota persona ar tiesībām īstenot projektu, ja to paredzēts īstenot šo noteikumu 18. punktā minētajā dzīvojamā mājā;".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Projektu var īstenot vienā dzīvokļa īpašumā vai vairākos dzīvokļu īpašumos, neaptverot visus dzīvojamās mājas dzīvokļu īpašumus, ja tiek nodrošināta šo noteikumu 22. punktā minētā prasība un projekta ietvaros katram dzīvokļa īpašumam tiek nodrošināts individuāls siltumapgādes risinājums atbilstoši vienai šo noteikumu 42.1., 42.2. vai 42.4. apakšpunktā minētajai atbalstāmajai 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Projektu var īstenot dzīvokļu īpašumos nesadalītā dzīvojamās mājas daļā, ja ir ievēroti šādi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 līdz projekta noslēguma maksājumam dzīvojamā māja tiek sadalīta atsevišķos dzīvokļu īpašumos;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projekts tiek īstenots un aptver dzīvokļu īpašumos nesadalītās dzīvojamās mājas daļu, kas pēc dzīvojamās mājas sadalīšanas dzīvokļu īpašumos veido vienu vai vairākus dzīvokļu īpašumus;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 tiek nodrošināta šo noteikumu 22. punktā minētā prasība un projekta ietvaros katram dzīvokļa īpašumam tiek nodrošināts individuāls siltumapgādes risinājums."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ceturtajā un katrā nākamajā uzsaukumā var iesniegt vienu projekta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pasākuma ietvaros var īstenot tikai vienu projektu, izņemot gadījumu, kas atbilst visām šādām pazīmēm: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20.3.1. īstenojot projektu pirmā, otrā, trešā vai ceturtā uzsaukuma ietvaros, tas netika īstenots visos dzīvojamās mājas dzīvokļu īpašumos;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20.3.2. šo noteikumu 9.5. apakšpunktā minēto papildu uzsaukumu ietvaros projekts kopā ar šo noteikumu 20.3.1. apakšpunktā minēto projektu atbilst šo noteikumu 14.</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20.3.3. īstenojot abus šo noteikumu 20.3.2. apakšpunktā minētos projektus, pasākuma atbalstu saņems visi dzīvojamās mājas dzīvokļu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23.3.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vertAlign w:val="superscript"/>
          <w:rtl w:val="0"/>
        </w:rPr>
        <w:t xml:space="preserve">1</w:t>
      </w:r>
      <w:r w:rsidR="00000000" w:rsidRPr="00000000" w:rsidDel="00000000">
        <w:rPr>
          <w:rtl w:val="0"/>
        </w:rPr>
        <w:t xml:space="preserve"> šo noteikumu 9.5. apakšpunktā minēto papildu uzsaukumu ietvaros dzīvojamās mājas esošā siltumapgāde vismaz pēdējos trīs kalendāra gadus vismaz 50 procentu apmērā tika nodrošināta ar akmeņoglēm, kūdru vai biomasas cieto kurināmo. Ja uz projektu attiecināmajā dzīvojamā mājā, dzīvokļa īpašumā vai dzīvokļu īpašumos siltumapgādei papildus tiek patērēti citi energoresursi, kas nav akmeņogles, kūdra vai biomasa, tad: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vertAlign w:val="superscript"/>
          <w:rtl w:val="0"/>
        </w:rPr>
        <w:t xml:space="preserve">1</w:t>
      </w:r>
      <w:r w:rsidR="00000000" w:rsidRPr="00000000" w:rsidDel="00000000">
        <w:rPr>
          <w:rtl w:val="0"/>
        </w:rPr>
        <w:t xml:space="preserve">1. projekta ietvaros šo noteikumu 5.2. apakšpunktā minēto daļiņu PM</w:t>
      </w:r>
      <w:r w:rsidR="00000000" w:rsidRPr="00000000" w:rsidDel="00000000">
        <w:rPr>
          <w:vertAlign w:val="subscript"/>
          <w:rtl w:val="0"/>
        </w:rPr>
        <w:t xml:space="preserve">2,5</w:t>
      </w:r>
      <w:r w:rsidR="00000000" w:rsidRPr="00000000" w:rsidDel="00000000">
        <w:rPr>
          <w:rtl w:val="0"/>
        </w:rPr>
        <w:t xml:space="preserve"> emisijas samazinājums sasniedz vismaz 0,01 tonnu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vertAlign w:val="superscript"/>
          <w:rtl w:val="0"/>
        </w:rPr>
        <w:t xml:space="preserve">1</w:t>
      </w:r>
      <w:r w:rsidR="00000000" w:rsidRPr="00000000" w:rsidDel="00000000">
        <w:rPr>
          <w:rtl w:val="0"/>
        </w:rPr>
        <w:t xml:space="preserve">2. projekta ietvaros netiek atbalstīta šo noteikumu 42.1. apakšpunktā minētā atbalstāmā darbība, ja dzīvojamās mājas, dzīvokļa īpašuma vai dzīvokļu īpašumu siltumapgādei tiek patērēta dabasgāze."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dzīvojamai mājai nepieciešamā siltumapgādes (apkures un karstā ūdens) nominālā jauda nepārsniedz 50 kilovatus (kW)."</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Projektu īsteno dzīvojamā mājā, dzīvokļa īpašumā vai dzīvokļu īpašumos,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šo noteikumu 18.1. apakšpunktā minētajā gadījumā uz projekta iesnieguma iesniegšanas dienu ir deklarēta vismaz viena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šo noteikumu 18.2. un 18.3. apakšpunktā minētajā gadījumā katrā uz projektu attiecināmā dzīvojamo telpu grupas dzīvokļa īpašumā uz projekta iesnieguma iesniegšanas dienu ir deklarēta vismaz viena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Projekta iesniegumā norādītās iekārtas uzstāda projekta iesniegumā norādītajā dzīvojamā mājā, vienā dzīvokļa īpašumā vai vairākos dzīvokļu īpašumos. Iekārtas var tikt uzstādītas uz dzīvojamās mājas īpašnieku īpašumā esošās zemes, citā ēkā vai palīgēkā, ja projekta iesniegumam tiek pievienots projekta iesniedzēja vai pilnvarotās personas pamatojums un apliecinājums, ka iekārtu saražotā enerģija tiks izmantota tikai šo noteikumu 18. punktā minētajā dzīvojamā mājā vai šo noteikumu 19. vai 19.</w:t>
      </w:r>
      <w:r w:rsidR="00000000" w:rsidRPr="00000000" w:rsidDel="00000000">
        <w:rPr>
          <w:vertAlign w:val="superscript"/>
          <w:rtl w:val="0"/>
        </w:rPr>
        <w:t xml:space="preserve">1</w:t>
      </w:r>
      <w:r w:rsidR="00000000" w:rsidRPr="00000000" w:rsidDel="00000000">
        <w:rPr>
          <w:rtl w:val="0"/>
        </w:rPr>
        <w:t xml:space="preserve"> punktā minētajā dzīvojamā mājā siltumenerģijas ražošanas iekārtas uzstādīšanas gadījumā, vai arī atbilstoši šo noteikumu 44.1. apakšpunktam elektroenerģijas ražošanas iekārtas uzstādīšanas gadījumā, nodrošinot dzīvojamās mājas, dzīvokļa īpašuma vai dzīvokļu īpašumu saražotās elektroenerģijas pašpatēriņu vismaz 80 %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Ja ar saimniecisku darbību nesaistīts projekts tā īstenošanas laikā vai projekta pēcuzraudzības periodā kļūst par projektu, kas saistīts ar saimniecisku darbību, kurai atbalsts kvalificējams kā komercdarbības atbalsts, dzīvojamās mājas īpašnieks sadarbības iestādei atmaksā saņemto nelikumīgo komercdarbības atbalstu kopā ar procentiem no līdzekļiem, kas ir brīvi no komercdarbības atbalsta, atbilstoši Komercdarbības atbalsta kontroles likuma IV vai V nodaļai, ja projekta īstenošanas laikā vai projekta pēcuzraudzības periodā nav iespējams piemērot šo noteikumu 29. punktā minētā komercdarbības atbalsta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Projekta iesniedzējs izpilda nepieciešamās prasības, lai nodrošinātu horizontālo principu "Nenodarīt būtisku kaitējumu", "Klimatdrošināšana" un "Energoefektivitāte pirmajā vietā", kā arī Eiropas Savienības un Latvijas Republikas normatīvo aktu ievērošanu vides aizsardzības jomā,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ja projekta ietvaros plānots pieslēgums centralizētajai siltumapgādes sistēmai, projekta iesniedzējs pārliecinās, ka centralizētā siltumapgādes sistēma atbilst efektīvai centralizētai siltumapgādes sistēmai saskaņā ar šo noteikumu 45.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ja projekta ietvaros plānots iegādāties koksnes biomasas apkures katlu, kas piemērots granulu kurināmajam, projekta iesniedzējs apliecina, ka par kurināmo izmantos biomasas kurināmo no mazvērtīgās koksnes un koksnes atlikumiem (koksnes granulas);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projekta iesniedzējs apliecina, ka noteiks pienākumu būvdarbu veicējiem vai pakalpojumu sniedzējiem ievērot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41.3.1. 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41.3.2. 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projektā paredzēts īstenot aktivitātes, kas nodrošina klimata pārmaiņu mazināšanu, tas ir, siltumnīcefekta gāzu emisiju samazināšanu vai atjaunojamo energoresursu tehnoloģiju ieviešanu, kā arī projekta atbilstību horizontālā principa "Energoefektivitāte pirmajā vietā"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41.5. projektā tiek nodrošināta atbilstība ar pielāgošanos klimata pārmaiņām saistītiem aspektiem;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41.6. ja projektu īsteno īpaši aizsargājamā dabas teritorijā vai tās aizsargjoslā, projekta iesniedzējs projekta iesniegumā apliecina, ka projekts negatīvi neietekmēs īpaši aizsargājamo dabas teritoriju aizsardzības un apsaimniekošanas mērķus."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42.1.1.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"42.1.1. apkures sistēmas ar sildelementiem pilnīgu atjaunošanu, pilnīgu pārbūvi vai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42.1.3.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"42.1.3. pieslēguma elektrotīkliem jaudas palielināšanu, ampēros (A);".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"42.2.1. apkures sistēmas ar sildelementiem pilnīgu atjaunošanu, pilnīgu pārbūvi vai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42.2.3.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"42.2.3. pieslēguma elektrotīkliem jaudas palielināšanu, ampēros (A);".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42.3.1.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"42.3.1. apkures sadales sistēmas pilnīgu atjaunošanu, pilnīgu pārbūvi vai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42.3.2.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"42.3.2. apkures sadales sistēmas pilnīgu atjaunošanu, pilnīgu pārbūvi vai izveidi un karstā ūdens sadales sistēmas pilnīgu atjaunošanu, pilnīgu pārbūvi vai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42.4.2.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"42.4.2. pieslēguma elektrotīkliem jaudas palielināšanu, ampēros (A);".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Ja šo noteikumu 9.5. apakšpunktā minēto papildu uzsaukumu ietvaros šo noteikumu 18.3. apakšpunktā minētās dzīvojamās mājas projektā ir paredzēta šo noteikumu 42.3. apakšpunktā minētā atbalstāmā darbība, uzstādāmās iekārtas var nespēt gada laikā pilnā apjomā nodrošināt dzīvojamai mājai nepieciešamo siltumapgādi, ar nosacījumu,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 projektā uzstādāmās iekārtas spēs gada laikā pilnā apjomā nodrošināt siltumapgādi apkures vajadzībām vismaz trim ceturtdaļām dzīvojamās mājas dzīvokļu īpašumu;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 visiem dzīvojamās mājas dzīvokļu īpašumiem tiks nodrošināts tehniskais risinājums ar vienkāršotu iespēju pieslēgties projektā uzstādāmajām iekārtām;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 projekta ietvaros netiek attiecinātas šo noteikumu 42.3.1. un 42.3.2. apakšpunktā minēto atbalstāmo darbību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Šo noteikumu 42.3. apakšpunktā minētās darbības ir atbalstāmas, ja centralizētā siltumapgādes sistēma atbilst efektīvai centralizētai siltumapgādes sistēmai izvirzītajiem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46.2.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"46.2. Komisijas 2015. gada 27. aprīļa Deleģētajā regulā (ES) 2015/1187, ar ko Eiropas Parlamenta un Padomes Direktīvu 2010/30/ES papildina attiecībā uz cietā kurināmā katlu un cietā kurināmā katla, papildu sildītāju, temperatūras regulatoru un saules enerģijas iekārtu komplektu energomarķējumu, minētajai energoefektivitātes klasei A+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46.3.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"46.3. Komisijas 2015. gada 24. aprīļa Regulas (ES) 2015/1185, ar ko Eiropas Parlamenta un Padomes Direktīvu 2009/125/EK īsteno attiecībā uz ekodizaina prasībām cietā kurināmā lokālajiem telpu sildītājiem, prasībām attiecībā uz cietā kurināmā lokālajiem telpu sildītājiem ar slēgtu degkameru, kuros izmanto presētu koksni granulu veidā, tai skaitā attiecībā uz pieļaujamajām gaisu piesārņojošo vielu emisijām;".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46.4.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"46.4. Komisijas 2015. gada 24. aprīļa Deleģētajā regulā (ES) 2015/1186, ar ko Eiropas Parlamenta un Padomes Direktīvu 2010/30/ES papildina attiecībā uz lokālo telpu sildītāju energomarķējumu, minētajai energoefektivitātes klasei A+ (ieskaitot), projekta iesniegumā norādot un atbalsta izmaksu aprēķinā izmantojot šīs regulas 2. panta 24. punktā definēto netiešo siltuma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Papildināt ar 46.5.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"46.5. atbalsts šo noteikumu 9.5. apakšpunktā minēto papildu uzsaukumu ietvaros projektam, kuru plānots īstenot valstspilsētā, tiek sniegts, ja nav tehniski vai ekonomiski iespējams prioritāri īstenot: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46.5.1. šo noteikumu 42.3. apakšpunktā minēto atbalstāmo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46.5.2. šo noteikumu 42.2. apakšpunktā minēto atbalstāmo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Finansējuma saņēmējs projekta īstenošanu priekšfinansē no privātiem līdzekļiem, un sadarbības iestāde, balstoties uz civiltiesisko līgumu par projekta īstenošanu, pēc finansējuma saņēmēja iesniegtā projekta noslēguma maksājuma pieprasījuma izvērtēšanas veic pasākuma finansējuma izmaksu vienā noslēguma maksājumā. Sadarbības iestāde projekta noslēguma maksājuma izvērtēšanas laikā atkārtoti pārbauda deklarēto personu skaitu uz projekta noslēguma maksājuma pieprasīšanas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Projekts tiek īstenots 24 mēnešu laikā no civiltiesiskā līguma par projekta īstenošanu noslēgšanas dienas, bet ne ilgāk kā līdz 2025. gada 31. decembrim pirmā, otrā, trešā un ceturtā uzsaukuma ietvaros un ne ilgāk kā līdz 2027. gada 31. decembrim šo noteikumu 9.5. apakšpunktā minēto papildu uzsaukumu ietvaros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62.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Ja civiltiesiskais līgums par projekta īstenošanu ceturtā uzsaukuma ietvaros noslēgts pēc 2024. gada 31. decembra, finansējuma saņēmējs var ierosināt projekta īstenošanas termiņa pagarinājumu līdz 2026. gada 31. decembrim, ja projektā plānotās darbības nav iespējams pabeigt līdz 2025.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64.7.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"64.7. ja finansējuma saņēmējs nav saimnieciskās darbības veicējs, vismaz piecus gadus pēc projekta noslēguma maksājuma saņemšanas nodrošina, ka dzīvokļa īpašumā vai dzīvojamā mājā netiek veikta saimnieciskā darbība. Ja finansējuma saņēmējs projekta pēcuzraudzības periodā kļūst par saimnieciskās darbības veicēju, piemēro šo noteikumu 39. punktā minētos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24-TA-2196</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24-TA-2196</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noteikumu_(grozījumu)_projekts_24-TA-2196.docx</dc:title>
</cp:coreProperties>
</file>

<file path=docProps/custom.xml><?xml version="1.0" encoding="utf-8"?>
<Properties xmlns="http://schemas.openxmlformats.org/officeDocument/2006/custom-properties" xmlns:vt="http://schemas.openxmlformats.org/officeDocument/2006/docPropsVTypes"/>
</file>