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2023. gada 26. septembra noteikumos Nr. 543 "Eiropas Savienības kohēzijas politikas programmas 2021.–2027. gadam 1.3.1. specifiskā atbalsta mērķa "Izmantot digitalizācijas priekšrocības iedzīvotājiem, uzņēmumiem, pētniecības organizācijām un publiskajām iestādēm" 1.3.1.2. pasākuma "Inovācijas laboratorija digitalizācijas priekšrocību izmantošanai"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Eiropas Savienības fondu 2021.–2027. gada plānošanas perioda vadības likuma</w:t>
      </w:r>
      <w:r w:rsidR="00000000" w:rsidRPr="00000000" w:rsidDel="00000000">
        <w:rPr>
          <w:rStyle w:val="paragraph"/>
          <w:i w:val="1"/>
          <w:rtl w:val="0"/>
        </w:rPr>
        <w:t xml:space="preserve"> </w:t>
      </w:r>
      <w:r w:rsidR="00000000" w:rsidRPr="00000000" w:rsidDel="00000000">
        <w:rPr>
          <w:rStyle w:val="paragraph"/>
          <w:i w:val="1"/>
          <w:rtl w:val="0"/>
        </w:rPr>
        <w:t xml:space="preserve">19. panta</w:t>
      </w:r>
      <w:r w:rsidR="00000000" w:rsidRPr="00000000" w:rsidDel="00000000">
        <w:rPr>
          <w:rStyle w:val="paragraph"/>
          <w:i w:val="1"/>
          <w:rtl w:val="0"/>
        </w:rPr>
        <w:t xml:space="preserve"> 6. un 13. 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Izdarīt Ministru kabineta 2023. gada 26. septembra noteikumos Nr. 543 "Eiropas Savienības kohēzijas politikas programmas 2021.–2027. gadam 1.3.1. specifiskā atbalsta mērķa "Izmantot digitalizācijas priekšrocības iedzīvotājiem, uzņēmumiem, pētniecības organizācijām un publiskajām iestādēm" 1.3.1.2. pasākuma "Inovācijas laboratorija digitalizācijas priekšrocību izmantošanai" īstenošanas noteikumi" (Latvijas Vēstnesis, 2023, 188.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izteikt 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Pasākuma ietvaros kopējais pieejamais finansējums ir 1 287 968 </w:t>
      </w:r>
      <w:r w:rsidR="00000000" w:rsidRPr="00000000" w:rsidDel="00000000">
        <w:rPr>
          <w:i w:val="1"/>
          <w:rtl w:val="0"/>
        </w:rPr>
        <w:t xml:space="preserve">euro</w:t>
      </w:r>
      <w:r w:rsidR="00000000" w:rsidRPr="00000000" w:rsidDel="00000000">
        <w:rPr>
          <w:rtl w:val="0"/>
        </w:rPr>
        <w:t xml:space="preserve">, tai skaitā Eiropas Reģionālās attīstības fonda finansējums – 1 094 772 </w:t>
      </w:r>
      <w:r w:rsidR="00000000" w:rsidRPr="00000000" w:rsidDel="00000000">
        <w:rPr>
          <w:i w:val="1"/>
          <w:rtl w:val="0"/>
        </w:rPr>
        <w:t xml:space="preserve">euro</w:t>
      </w:r>
      <w:r w:rsidR="00000000" w:rsidRPr="00000000" w:rsidDel="00000000">
        <w:rPr>
          <w:rtl w:val="0"/>
        </w:rPr>
        <w:t xml:space="preserve"> un valsts budžeta līdzfinansējums – 193 196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svītrot 5.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izteikt 10.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 Pasākumu īsteno ierobežotas projektu iesniegumu atlases veidā vienā projektu iesniegumu atlasē, un pasākuma atbalsts tiek sniegts granta veidā.";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papildināt ar 15.3.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"15.3. netiešās attiecināmās izmaksas, kas nav tieši saistītas ar projekta rezultātu sasniegšanu, bet atbalsta un nodrošina atbilstošus apstākļus projekta īstenošanai un projekta rezultātu sasniegšanai. Netiešās attiecināmās izmaksas plāno kā vienu izmaksu pozīciju, piemērojot netiešo izmaksu vienoto likmi 7 procentu apmērā no šo noteikumu 15.1. un 15.2. apakšpunktā minētajām tiešajām attiecināmajām izmaksām.";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izteikt 22.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"22. Finansējuma saņēmējs savā tīmekļvietnē ievieto aktuālo informāciju par projekta īstenošanu, tai skaitā publisko projekta ietvaros organizēto inovācijas laboratorijas sprintu rezultātus.";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izteikt 24.4.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"24.4. nodrošina interešu konflikta neesību."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Šo noteikumu 1.4. apakšpunkts stājas spēkā 2026. gada 1. septembrī.</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26-TA-1417</w:t>
    </w:r>
    <w:r>
      <w:br/>
    </w:r>
    <w:r w:rsidR="00000000" w:rsidRPr="00000000" w:rsidDel="00000000">
      <w:rPr>
        <w:rtl w:val="0"/>
      </w:rPr>
      <w:t xml:space="preserve">Izdrukāts 25.08.2026. 12.57 - 1.0.VK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26-TA-1417</w:t>
    </w:r>
    <w:r>
      <w:br/>
    </w:r>
    <w:r w:rsidR="00000000" w:rsidRPr="00000000" w:rsidDel="00000000">
      <w:rPr>
        <w:rtl w:val="0"/>
      </w:rPr>
      <w:t xml:space="preserve">Izdrukāts 25.08.2026. 12.57 - 1.0.VK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noteikumu_(grozījumu)_projekts_26-TA-1417.docx</dc:title>
</cp:coreProperties>
</file>

<file path=docProps/custom.xml><?xml version="1.0" encoding="utf-8"?>
<Properties xmlns="http://schemas.openxmlformats.org/officeDocument/2006/custom-properties" xmlns:vt="http://schemas.openxmlformats.org/officeDocument/2006/docPropsVTypes"/>
</file>