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neesamības apliecinājums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Latvijas Atveseļošanas un noturības mehānisma (turpmāk – Atveseļošanas fonds)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ietvaros sadarbības tīkla projektu/aktivitāšu (turpmāk – projekts) vērtēšanas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projektu likuma "Par interešu konflikta novēršanu valsts amatpersonu darbībā" izpratnē un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61. panta izpratnē un neesmu piedalījies(-usies) vērtējamo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projekta apstiprināšanā vai noraidīšanā. 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nekavējoties informēšu sadarbības tīkla projektu vērtēšanas komisiju,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projektus, savus pienākumus veikšu atbildīgi un profesionāli, kā arī sniegšu objektīvus vērtējumus.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projektus, kā arī apņemos lietot pieejamo informāciju un dokumentus tikai projektu vērtēšanai un lēmuma pieņemšanai par tiem. Apņemos nepaturēt un nenodot trešajām personām jebkādu rakstisku vai elektronisku informāciju par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minētos nosacījumus,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Datums                               Paraksts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23-TA-3294</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23-TA-3294</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noteikumu_konsolidētā_versija_p3_23-TA-3294.docx</dc:title>
</cp:coreProperties>
</file>

<file path=docProps/custom.xml><?xml version="1.0" encoding="utf-8"?>
<Properties xmlns="http://schemas.openxmlformats.org/officeDocument/2006/custom-properties" xmlns:vt="http://schemas.openxmlformats.org/officeDocument/2006/docPropsVTypes"/>
</file>