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 jūnija noteikumos Nr. 265 "Valsts atbalsta piešķiršanas kārtība meža nozares attīstībai" (Latvijas Vēstnesis, 2023,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atbalsta kopējais apmērs 2024. gadā ir 1 337 927 </w:t>
      </w:r>
      <w:r w:rsidR="00000000" w:rsidRPr="00000000" w:rsidDel="00000000">
        <w:rPr>
          <w:i w:val="1"/>
          <w:rtl w:val="0"/>
        </w:rPr>
        <w:t xml:space="preserve">euro</w:t>
      </w:r>
      <w:r w:rsidR="00000000" w:rsidRPr="00000000" w:rsidDel="00000000">
        <w:rPr>
          <w:rtl w:val="0"/>
        </w:rPr>
        <w:t xml:space="preserve">, un to piešķir no Zemkopības ministrijas budžeta programmas 24.00.00 "Meža resursu ilgtspējības saglabāšana" apakšprogrammā 24.02.00 "Valsts atbalsta pasākumi meža nozarē" Meža attīstības fondam (turpmāk – fonds)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pasākumam "Meža dienas 2024" (īsteno biedrība "Latvijas Pašvaldību savienība") – 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meža nozares gada balvas "Zelta čiekurs" pasniegšanas informatīvajam un tehniskajam nodrošinājumam – 48 000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ES iniciatīvas "Trīs miljardi koku" atbalsta projekta realizācijas priekšizpēte un sagatavošana –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informatīvā materiāla (platformas) "Meža nozare skaitļos un faktos" aktualizēšanai  un drukāta materiāla izstrādei un izdošanai – 8000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meža nozares gada balvu izgatavošanai – 11 000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 Starptautiskās meža pētniecības organizāciju apvienības (</w:t>
      </w:r>
      <w:r w:rsidR="00000000" w:rsidRPr="00000000" w:rsidDel="00000000">
        <w:rPr>
          <w:i w:val="1"/>
          <w:rtl w:val="0"/>
        </w:rPr>
        <w:t xml:space="preserve">International union of forest research organizations – IUFRO</w:t>
      </w:r>
      <w:r w:rsidR="00000000" w:rsidRPr="00000000" w:rsidDel="00000000">
        <w:rPr>
          <w:rtl w:val="0"/>
        </w:rPr>
        <w:t xml:space="preserve">) 2024. gada Pasaules kongresa organizēšanai (īsteno Latvijas Valsts mežzinātnes institūts "Silava") – 36 000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5.1.9.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5.1.10.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"5.1.10. Sabiedrības attieksmes pētījums par valsts meža attīstības programmas galvenajiem vēstījumiem 2024. gadā - 20 000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Priekšlikumu izstrāde Nacionālā meža monitoringa pilnveidei, ietverot meža bioloģiskās daudzveidības monitoringa un Otrā līmeņa gaisa piesārņojuma ietekmes monitoringa komponentes, kā arī konsultatīvi zinātniskā atbalsta Latvijas pozīciju sagatavošanai par Eiropas Parlamenta un Padomes regulu par Eiropas mežu noturību veicinoša monitoringa satvaru - (īsteno Latvijas Valsts mežzinātnes institūts "Silava") – 150 000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Privāto mežu apsaimniekošanas un meža īpašumu konsolidācijas un kooperācijas procesa monitorings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Meža nekoksnes produktu un pakalpojumu izvērtējums, tā devums Latvijas tautsaimniecībā 2024. gadā  – 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Eiropas Pētniecības telpas tīkla (</w:t>
      </w:r>
      <w:r w:rsidR="00000000" w:rsidRPr="00000000" w:rsidDel="00000000">
        <w:rPr>
          <w:i w:val="1"/>
          <w:rtl w:val="0"/>
        </w:rPr>
        <w:t xml:space="preserve">ERA-NET ForestValue)</w:t>
      </w:r>
      <w:r w:rsidR="00000000" w:rsidRPr="00000000" w:rsidDel="00000000">
        <w:rPr>
          <w:rtl w:val="0"/>
        </w:rPr>
        <w:t xml:space="preserve"> pētījuma "Koki un meži nākotnē: meža selekcijas un mežkopības kompromisu un iespēju novērtējums ilgtspējības mērķu sasniegšanai"  (</w:t>
      </w:r>
      <w:r w:rsidR="00000000" w:rsidRPr="00000000" w:rsidDel="00000000">
        <w:rPr>
          <w:i w:val="1"/>
          <w:rtl w:val="0"/>
        </w:rPr>
        <w:t xml:space="preserve">Seeing trees and forests for the future: assessment of trade-offs and potentials to breed and manage forests to meet sustainability goals</w:t>
      </w:r>
      <w:r w:rsidR="00000000" w:rsidRPr="00000000" w:rsidDel="00000000">
        <w:rPr>
          <w:rtl w:val="0"/>
        </w:rPr>
        <w:t xml:space="preserve">) īstenošanai ar sadarbības partneriem no četrām valstīm – Somijas, Zviedrijas, Norvēģijas un Latvijas (</w:t>
      </w:r>
      <w:r w:rsidR="00000000" w:rsidRPr="00000000" w:rsidDel="00000000">
        <w:rPr>
          <w:i w:val="1"/>
          <w:rtl w:val="0"/>
        </w:rPr>
        <w:t xml:space="preserve">Assess4EST</w:t>
      </w:r>
      <w:r w:rsidR="00000000" w:rsidRPr="00000000" w:rsidDel="00000000">
        <w:rPr>
          <w:rtl w:val="0"/>
        </w:rPr>
        <w:t xml:space="preserve">) (īsteno Latvijas Valsts mežzinātnes institūts "Silava") – 43 000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"5.2.7. Atbalsts meža nozares stratēģiskā dokumenta izstrādei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"5.2.8. Latvijas dalība Ekonomiskās sadarbības un attīstības organizācijas (OECD) Meža un lauku attīstības iniciatīvā 2024. gadā - 100 000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"5.2.9. Vadlīniju izstrāde degvielas uzskaites sistēmas izstrādei mežsaimniecības sektorā - 7 000 eiro."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"5.2.10. Koksnes plātņu produktu ražošanas dinamika Latvijā pēdējo piecu gadu laikā - 20 000 eiro".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"5.2.11. Egļu astoņzobu mizgrauža masveida savairošanās situācijas ietekme uz meža apsaimniekošanu un koksnes resursu ieguvi Latvijā - 60 000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Lai īstenotu šo noteikumu 5.1. un 5.2. apakšpunktā minētos projektus, izņemot 5.1.1.5.1.3.5.1.8., 5.2.1., 5.2.4. un 5.2.5. apakšpunktu, Zemkopības ministrija izsludina konkursu oficiālajā izdevumā "Latvijas Vēstnesis", nosakot vismaz 10 darbdienu ilgu projekta iesniegšanas termiņu, un informāciju par projekta mērķiem un darba uzdevumiem ievieto Zemkopības ministrijas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 atbalsta saņēmējs projekta pieteikumu par šo noteikumu 5.1.1., 5.1.8., 5.2.1., 5.2.4. un 5.2.5. apakšpunktā minētajiem projektiem iesniedz Lauku atbalsta dienesta (turpmāk – dienests) elektroniskās pieteikšanās sistēmā 14 dienu laikā no projektu darba uzdevumu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Avansa maksājums ir 50 procentu apmērā no projekta valsts atbalsta summas, un tas, pamatojot nepieciešamību, ar padomes lēmumu var tikt mainīts. Šo noteikumu 5. punktā minētajiem projektiem maksājumus izmaksā divās daļās – avansa maksājumu 50 procentu apmērā, projektu uzsākot, un atlikušo maksājumu 50 procentu apmērā pēc projekta starppārskata (4. pielikums) un – ja nepieciešama iepirkuma procedūra – iepirkuma dokumentu iesniegšanas un to izvērtēšanas. Starppārskats un iepirkuma dokumenti iesniedzami dienesta elektroniskajā pieteikšanās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Projekta pārskatu un maksājumu pieprasījumu, kā arī kopsavilkumu un konta pārskatu iesniedz dienesta elektroniskajā pieteikšanās sistēmā līdz kārtējā gada 30.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18.3.2.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"18.3.2. sabiedrības un meža īpašnieku informēšanai un izglītošanai plašsaziņas līdzekļos (174 926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Projekta pārskatu un maksājuma pieprasījumu, kā arī kopsavilkumu un konta pārskatu iesniedz dienesta elektroniskajā pieteikšanās sistēmā 15 dienu laikā pēc projekta īstenošanas, bet ne vēlāk kā līdz kārtējā gada 30.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Pēc projekta īstenošanas dienests informē padomi par pārskatu atbilstību projekta pieteikumam un kopsavilkumu un konta pārskatā minēto maksājumu atbilstību projekta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pārskatu par projekta īstenošanu (4. pielikums) un projekta rezultātus taustāmā vai elektroniskā formā, piemēram, grāmatas, citus izstrādājumus, saites uz publikācijām, sižetiem vai raidierakstiem, maketus, preses izdevumu eksemplārus u.c."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kopsavilkumu, kurā norādītas projekta izmaksu pamatojošu dokumentu datumi, numuri, izmaksu summas un informāciju par 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konta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47.4.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Dienests ir tiesīgs pieprasīt izlases kārtībā valsts atbalsta saņēmējam atbalstītā projekta īstenošanu apliecinošo dokumentus, ar pakalpojumu sniedzējiem noslēgto līgumus, darbu nodošanas un pieņemšanas aktus."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izmaksas, kas ir saistītas ar projekta īstenošanu, nepieciešamas projekta mērķu sasniegšanai un pamatotas ar attaisnojošiem dokumentiem un par kurām valsts atbalsta saņēmējs uzglabā darījumu un samaksu apliecinošus dokumentus atbilstoši Grāmatvedības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administratīvās izmaksas, kas tieši saistītas ar projekta vadību un koordināciju ir noteiktas 15 procentu apmērā no šo noteikumu 50.1. apakšpunktā minētajām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57.1.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projektā paredzētajām iegādēm, ja tās ir lielākas par 1001 </w:t>
      </w:r>
      <w:r w:rsidR="00000000" w:rsidRPr="00000000" w:rsidDel="00000000">
        <w:rPr>
          <w:i w:val="1"/>
          <w:rtl w:val="0"/>
        </w:rPr>
        <w:t xml:space="preserve">euro</w:t>
      </w:r>
      <w:r w:rsidR="00000000" w:rsidRPr="00000000" w:rsidDel="00000000">
        <w:rPr>
          <w:rtl w:val="0"/>
        </w:rPr>
        <w:t xml:space="preserve">, izvēlas visizdevīgāko piedāvājumu, kura noteikšanā viens no kritērijiem ir zemākā cena. To apliecina ar vismaz divu derīgu piedāvājumu salīdzināšanu konkrētai iegādei neatkarīgi no iepirkuma procedūras veida;".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Valsts atbalsta saņēmējs starppārskatu (4. pielikums) elektroniskajā pieteikšanās sistēmā iesniedz līdz kārtējā gada 31. augustam un tajā norāda informāciju par jau īstenotajiem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Dienests informē sekretariātu par valsts atbalsta saņēmēja iesniegto starppārskatu (4. pielikums).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Ja valsts atbalsta saņēmējs laikus neiesniedz iepirkuma dokumentus vai starppārskatu (4. pielikums), dienests informē padomes sekretariātu."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Ja šo noteikumu 5. vai 18. punktā minēto finansējumu neizlieto pilnā apmērā, padome, kas rīkojas saskaņā ar normatīvajos aktos noteikto Meža attīstības fonda pārvaldības kārtību, lemj par finansējuma pārdali un, ja nepieciešams, atkārtota konkursa izsludināšanu."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66.4.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"66.4. vismaz divas nedēļas pirms projektā plānotajiem informatīvajiem pasākumiem, piemēram, semināriem, nometnēm un raidījumiem, informē par tiem sekretariātu un dienestu;".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24-TA-86</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24-TA-86</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noteikumu_(grozījumu)_projekts_24-TA-86.docx</dc:title>
</cp:coreProperties>
</file>

<file path=docProps/custom.xml><?xml version="1.0" encoding="utf-8"?>
<Properties xmlns="http://schemas.openxmlformats.org/officeDocument/2006/custom-properties" xmlns:vt="http://schemas.openxmlformats.org/officeDocument/2006/docPropsVTypes"/>
</file>