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informācijas sabiedrības attīstības pamatnostādņu ieviešanu publiskās pārvaldes informācijas sistēmu jomā (mērķarhitektūras 58.0. versija)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un iekļaut informācijas un komunikācijas tehnoloģiju mērķarhitektūras 58.0. versijā projekta "Eksporta un e-komercijas procesi e-muitā" (turpmāk – projekts) aprakstu un projekta izmaksas 3 100 000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Centrālajai finanšu un līgumu aģentūrai uzaicināt Valsts ieņēmumu dienestu iesniegt projekta iesniegumu Eiropas Savienības struktūrfondu un Kohēzijas fonda 2014.–2020. 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(turpmāk – 2.2.1.1. pasākums)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Finansēt projektu 2.2.1.1. pasākuma ietvaros, ja projekta iesniegums atbilst projektu iesniegumu vērtēšanas kritērijiem un Ministru kabineta 2015. gada 17. novembra noteikumos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iekļautajiem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Valsts ieņēmumu dienestu par projekta iesniedzēju un atbildīgo par projekta īstenošanu un projekta aprakstā plānoto mērķu un rezultātu (tai skaitā finanšu, rezultāta un iznākuma rādītāju) sasniegšanu.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projekta pabeigšanas noteikt projekta rezultātu uzturēšanas izmaksas ne vairāk kā 310 000 </w:t>
      </w:r>
      <w:r w:rsidR="00000000" w:rsidRPr="00000000" w:rsidDel="00000000">
        <w:rPr>
          <w:i w:val="1"/>
          <w:rtl w:val="0"/>
        </w:rPr>
        <w:t xml:space="preserve">euro</w:t>
      </w:r>
      <w:r w:rsidR="00000000" w:rsidRPr="00000000" w:rsidDel="00000000">
        <w:rPr>
          <w:rtl w:val="0"/>
        </w:rPr>
        <w:t xml:space="preserve"> gadā, un Valsts ieņēmumu dienestam pieprasīt papildu finansējumu normatīvajos aktos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informācijas un komunikācijas tehnoloģiju mērķarhitektūras 58.0. versijā iekļautā projekta konsolidēto aprakstu (kopsavilkumu).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23-TA-932</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23-TA-932</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rīkojuma_konsolidētā_versija_23-TA-932.docx</dc:title>
</cp:coreProperties>
</file>

<file path=docProps/custom.xml><?xml version="1.0" encoding="utf-8"?>
<Properties xmlns="http://schemas.openxmlformats.org/officeDocument/2006/custom-properties" xmlns:vt="http://schemas.openxmlformats.org/officeDocument/2006/docPropsVTypes"/>
</file>