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"Cauņu masīvs" Baldones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un pašvaldību zemes īpašuma tiesībām un to nostiprināšanu zemesgrāmatās" 8. panta trešo daļu Zemkopības ministrijai nodot Satiksmes ministrijas valdījumā valsts nekustamā īpašuma "Cauņu masīvs" (nekustamā īpašuma kadastra Nr. 8025 007 0173) daļu – zemes vienību (zemes vienības kadastra apzīmējums 8025 011 0699) 0,05 ha platībā un zemes vienību (zemes vienības kadastra apzīmējums 8025 011 0701) 0,49 ha platībā – Baldones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24-TA-2683</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24-TA-2683</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rīkojuma_projekts_24-TA-2683.docx</dc:title>
</cp:coreProperties>
</file>

<file path=docProps/custom.xml><?xml version="1.0" encoding="utf-8"?>
<Properties xmlns="http://schemas.openxmlformats.org/officeDocument/2006/custom-properties" xmlns:vt="http://schemas.openxmlformats.org/officeDocument/2006/docPropsVTypes"/>
</file>