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 (Latvijas Vēstnesis, 2016, 44. nr.; 2017, 129. nr.; 2021,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16.1.3. apakšpunktā minētās atbalstāmās darbības īstenošanu nodrošina finansējuma saņēmēja piesaistīts pakalpojumu sniedzējs, kas veic ekspresaptaujas, kā arī reizi gadā darba devēju aptauju, lai atjaunotu darba tirgus īstermiņa prognozes."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Pasākuma ietvaros projektu īsteno saskaņā ar vienošanos par projekta īstenošanu, bet ne ilgāk kā līdz 2022.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22-TA-574</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22-TA-574</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noteikumu_(grozījumu)_projekts_22-TA-574.docx</dc:title>
</cp:coreProperties>
</file>

<file path=docProps/custom.xml><?xml version="1.0" encoding="utf-8"?>
<Properties xmlns="http://schemas.openxmlformats.org/officeDocument/2006/custom-properties" xmlns:vt="http://schemas.openxmlformats.org/officeDocument/2006/docPropsVTypes"/>
</file>