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Nacionālās kiberdrošības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w:t>
      </w:r>
      <w:r w:rsidR="00000000" w:rsidRPr="00000000" w:rsidDel="00000000">
        <w:rPr>
          <w:rStyle w:val="paragraph"/>
          <w:rtl w:val="0"/>
        </w:rPr>
        <w:t xml:space="preserve">Nacionālās kiberdrošības likumā</w:t>
      </w:r>
      <w:r w:rsidR="00000000" w:rsidRPr="00000000" w:rsidDel="00000000">
        <w:rPr>
          <w:rStyle w:val="paragraph"/>
          <w:rtl w:val="0"/>
        </w:rPr>
        <w:t xml:space="preserve"> (Latvijas Vēstnesis, 2024, 128.A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tekstā vārdus "domēnu nosaukumi" (attiecīgā locījumā) ar vārdiem "domēnu vārdi"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3. panta pirmās daļas 2. punktā vārdus "kā arī privāto tiesību juridiskajām personām, kas pilda valsts pārvaldes deleģētu uzdevumu".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 Izslēgt 20. panta 5. punktā vārdus "kā arī privāto tiesību juridiskā persona, kas pilda valsts pārvaldes deleģētu uzdevumu".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22.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Ar Digitālās drošības uzraudzības komitejas lēmumu no būtisko pakalpojumu sniedzēju saraksta var izslēgt tiešās pārvaldes vai pastarpinātās pārvaldes iestādi, kuras darbības traucējums nevar būtiski ietekmēt sabiedrības drošību, valsts aizsardzību, sabiedrības veselību vai nevar radīt būtisku sistēmisku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25-TA-1597</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25-TA-1597</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likumprojekts_(grozījumi)_25-TA-1597.docx</dc:title>
</cp:coreProperties>
</file>

<file path=docProps/custom.xml><?xml version="1.0" encoding="utf-8"?>
<Properties xmlns="http://schemas.openxmlformats.org/officeDocument/2006/custom-properties" xmlns:vt="http://schemas.openxmlformats.org/officeDocument/2006/docPropsVTypes"/>
</file>