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decembrī (prot. Nr. 53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Pašvaldības vēlēšanu komisiju un vēlēšanu iecirkņu komisiju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21. panta</w:t>
      </w:r>
      <w:r w:rsidR="00000000" w:rsidRPr="00000000" w:rsidDel="00000000">
        <w:rPr>
          <w:rStyle w:val="paragraph"/>
          <w:i w:val="1"/>
          <w:rtl w:val="0"/>
        </w:rPr>
        <w:t xml:space="preserve"> trešo un ceturto daļu un </w:t>
      </w:r>
      <w:r w:rsidR="00000000" w:rsidRPr="00000000" w:rsidDel="00000000">
        <w:rPr>
          <w:rStyle w:val="paragraph"/>
          <w:i w:val="1"/>
          <w:rtl w:val="0"/>
        </w:rPr>
        <w:t xml:space="preserve">22. panta</w:t>
      </w:r>
      <w:r w:rsidR="00000000" w:rsidRPr="00000000" w:rsidDel="00000000">
        <w:rPr>
          <w:rStyle w:val="paragraph"/>
          <w:i w:val="1"/>
          <w:rtl w:val="0"/>
        </w:rPr>
        <w:t xml:space="preserve">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atlīdzības apmēru pašvaldības vēlēšanu komisijas un vēlēšanu iecirkņa komisijas priekšsēdētājam, sekretāram un komisijas locekļiem, tai skaitā pieaicinātiem civildienesta ierēdņiem un citiem speciālistiem no vēlētāju vidus (turpmāk – komisijas loceklis), Saeimas vēlēšanu, Eiropas Parlamenta vēlēšanu un tautas nobalsošanas sagatavošanā, kā arī apmēru, kādā tiek kompensēti ēdināšanas izdevumi vēlēšanu komisiju locekļiem.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locekļa darba stundas tarifa likme nedrīkst pārsniegt Valsts un pašvaldību institūciju amatpersonu un darbinieku atlīdzības likumā noteikto bāzes mēnešalgas apmēru, kam piemērots šāds koeficients: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priekšsēdētājam – 0,012–0,014;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sekretāram – 0,0102–0,012;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loceklim – 0,007–0,0096.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Stundas tarifa likmes konkrēto apmēru nosaka Centrālā vēlēšanu komisija, ņemot vērā attiecīgā komisijas locekļa darba apjomu un atbildību.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Komisijas locekļiem kompensē ēdināšanas izdevumus balsošanas un balsu skaitīšanas laikā – 11,00</w:t>
      </w:r>
      <w:r w:rsidR="00000000" w:rsidRPr="00000000" w:rsidDel="00000000">
        <w:rPr>
          <w:i w:val="1"/>
          <w:rtl w:val="0"/>
        </w:rPr>
        <w:t xml:space="preserve"> euro</w:t>
      </w:r>
      <w:r w:rsidR="00000000" w:rsidRPr="00000000" w:rsidDel="00000000">
        <w:rPr>
          <w:rtl w:val="0"/>
        </w:rPr>
        <w:t xml:space="preserve"> par katru dienu.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 2026. gada 1. janvārī.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</w:t>
      </w:r>
      <w:r w:rsidR="00000000" w:rsidRPr="00000000" w:rsidDel="00000000">
        <w:rPr>
          <w:rtl w:val="0"/>
        </w:rPr>
        <w:t xml:space="preserve">Ministru kabineta 2022. gada 1. marta noteikumus Nr. 144 "Noteikumi par valstspilsētu un novadu pašvaldību vēlēšanu komisiju un vēlēšanu iecirkņu komisiju locekļu atlīdzību un ēdināšanas izdevumu kompensāciju"</w:t>
      </w:r>
      <w:r w:rsidR="00000000" w:rsidRPr="00000000" w:rsidDel="00000000">
        <w:rPr>
          <w:rtl w:val="0"/>
        </w:rPr>
        <w:t xml:space="preserve"> (Latvijas Vēstnesis, 2022, 44. nr.; 2023, 203.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vietā - viedās administrācijas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Čudars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25-TA-1745</w:t>
    </w:r>
    <w:r>
      <w:br/>
    </w:r>
    <w:r w:rsidR="00000000" w:rsidRPr="00000000" w:rsidDel="00000000">
      <w:rPr>
        <w:rtl w:val="0"/>
      </w:rPr>
      <w:t xml:space="preserve">Izdrukāts 29.07.2026. 23.15 - 2.0.VK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25-TA-1745</w:t>
    </w:r>
    <w:r>
      <w:br/>
    </w:r>
    <w:r w:rsidR="00000000" w:rsidRPr="00000000" w:rsidDel="00000000">
      <w:rPr>
        <w:rtl w:val="0"/>
      </w:rPr>
      <w:t xml:space="preserve">Izdrukāts 29.07.2026. 23.15 - 2.0.VK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