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Elektroenerģijas tirgus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Elektroenerģijas tirgus likumā (Latvijas Republikas Saeimas un Ministru Kabineta Ziņotājs, 2005, 12. nr.; 2008, 10. nr.; Latvijas Vēstnesis, 2011, 117. nr.; 2013, 211., 232. nr.; 2014, 60., 189., 257. nr.; 2015, 118., 190., 248. nr.; 2016, 110., 241. nr.; 2019, 240. nr.; 2020, 29. nr.; 2022, 137A., 144. nr.; 2023, 38A.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5. pantu ar septīto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Elektroenerģijas tirdzniecības darījumi ar Krievijas Federāciju un Baltkrievijas Republiku, kā arī elektroenerģijas piegāde tirdzniecībai, izmantojot Krievijas Federācijas un Baltkrievijas Republikas elektroenerģijas sistēmu, ir aizliegta."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13.</w:t>
      </w:r>
      <w:r w:rsidR="00000000" w:rsidRPr="00000000" w:rsidDel="00000000">
        <w:rPr>
          <w:vertAlign w:val="superscript"/>
          <w:rtl w:val="0"/>
        </w:rPr>
        <w:t xml:space="preserve">1</w:t>
      </w:r>
      <w:r w:rsidR="00000000" w:rsidRPr="00000000" w:rsidDel="00000000">
        <w:rPr>
          <w:rtl w:val="0"/>
        </w:rPr>
        <w:t xml:space="preserve"> pantu ar devīto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"(9) Pārvades sistēmas operatoram atļauts veikt balansēšanas elektroenerģijas apmaiņu ar Krievijas Federācijas pārvades sistēmas operatoru vai tirgotāju, izmantojot Krievijas Federācijas elektrotīklus, lai nodrošinātu elektroapgādes drošumu, balansēšanu un stabilitāti Latvijas pārvades sistēmā, līdz sinhronizācijai ar kontinentālās Eiropas elektrotīkliem, nodrošinot, ka no Krievijas Federācijas pārvades sistēmas operatora vai tirgotāja saņemtās balansēšanas elektroenerģijas apjoms nav lielāks par Krievijas Federācijas pārvades sistēmas operatoram vai tirgotājam nodoto balansēšanas elektroenerģijas apjomu."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22. panta otro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Prasības, kas jāizpilda, lai saņemtu šā panta pirmajā daļā minēto atļauju, atļaujas izsniegšanas, pārreģistrēšanas, atcelšanas un derīguma termiņa pagarināšanas kārtību, valsts kontā iemaksājamo drošības naudas apmēru, tās samaksas un atmaksas kārtību, kā arī kritērijus atļaujas izsniegšanas atteikšanai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likumu ar 27.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27.</w:t>
      </w:r>
      <w:r w:rsidR="00000000" w:rsidRPr="00000000" w:rsidDel="00000000">
        <w:rPr>
          <w:b w:val="1"/>
          <w:vertAlign w:val="superscript"/>
          <w:rtl w:val="0"/>
        </w:rPr>
        <w:t xml:space="preserve">1</w:t>
      </w:r>
      <w:r w:rsidR="00000000" w:rsidRPr="00000000" w:rsidDel="00000000">
        <w:rPr>
          <w:b w:val="1"/>
          <w:rtl w:val="0"/>
        </w:rPr>
        <w:t xml:space="preserve"> pants. Tirgus ieņēmumu maksimālais apmērs</w:t>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Elektroenerģijas ražotājiem, kuri reģistrēti elektroenerģijas ražotāju reģistrā, izņemot ražotājus, kuri ražo elektroenerģiju no biometāna vai dabasgāzes, no 2022. gada 1. decembra līdz 2023. gada 30. jūnijam piemēro pārdotās elektroenerģijas ieņēmumu maksimālo apmēru 0,180 </w:t>
      </w:r>
      <w:r w:rsidR="00000000" w:rsidRPr="00000000" w:rsidDel="00000000">
        <w:rPr>
          <w:i w:val="1"/>
          <w:rtl w:val="0"/>
        </w:rPr>
        <w:t xml:space="preserve">euro </w:t>
      </w:r>
      <w:r w:rsidR="00000000" w:rsidRPr="00000000" w:rsidDel="00000000">
        <w:rPr>
          <w:rtl w:val="0"/>
        </w:rPr>
        <w:t xml:space="preserve">par vienu kilovatstundu saskaņā ar Padomes 2022. gada 6. oktobra regulas (ES) 2022/1854 par ārkārtas intervenci augsto enerģijas cenu problēmas risināšanai 6. panta 1. punktu. Elektroenerģijas cena, kurai piemēro tirgus ieņēmumu maksimālo apmēru, ir elektroenerģijas biržas "Nord Pool AS" Latvijas tirdzniecības apgabala mēneša cena, kura publicēta elektroenerģijas biržas tīmekļvietnē, elektroenerģijai, kura tiek tieši pārdota biržā attiecīgajā mēnesī, vai divpusējos elektroenerģijas tirdzniecības pārdošanas līgumos noteiktā cena, ņemot vērā elektroenerģijas tirdzniecības darījumam piesaistīto finanšu instrumentu izmaksas.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Ieņēmumu daļu, kas pārsniedz šā panta pirmajā daļā noteikto ieņēmumu maksimālo apmēru (virsieņēmumus), šā panta pirmajā daļā minētie ražotāji iegulda savā uzņēmumā vai saistītā uzņēmumā, lai veicinātu investīcijas dekarbonizācijas tehnoloģijās, atjaunīgajos energoresursos un energoefektivitātē.</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virsieņēmumi par elektroenerģiju, kas saražota koģenerācijas iekārtās, ir ietverti siltumenerģijas apgādes pakalpojumu tarifu aprēķinā, tad uz šādu ražotāju nav attiecināmas šā panta pirmajā un otrajā daļā noteiktās prasības. </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virsieņēmumi par saražoto elektroenerģiju ir novirzīti, lai finansētu galalietotājiem paredzētus atbalsta pasākumus elektroenerģijas izmaksu mazināšanai, tad uz šādu ražotāju nav attiecināmas šā panta pirmajā un otrajā daļā noteiktās prasības.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Elektroenerģijas ražotājs nosaka virsieņēmumu apjomu, kas gūts no 2022. gada 1. decembra līdz 2023. gada 30. jūnijam, ņemot vērā šā panta pirmajā daļā noteikto pārdotās elektroenerģijas ieņēmumu maksimālo apmēru, un līdz 2023. gada 31. jūlijam informē biroju par kopējo gūto virsieņēmumu apjomu, par pārdotās elektroenerģijas apjomu un no tā gūtajiem ieņēmumiem, kā arī virsieņēmumu izlietojuma plānu, norādot izlietojuma mērķi un izpildes termiņu, kas nepārsniedz trīs gadus. Birojs mēneša laikā izskata elektroenerģijas ražotāja iesniegto informāciju un pārbauda tās patiesumu. Ja iesniegtajos dokumentos norādītā informācija ir nepietiekama, nepareiza vai neprecīza, birojs informē iesniedzēju par konstatētajām nepilnībām un nosaka termiņu trūkumu novēršanai. Ja nepieciešamā informācija netiek sniegta vai trūkumi nav novērsti, birojs ir tiesīgs neiesniegto informāciju pieprasīt sistēmas operatoram, elektroenerģijas tirgotājam vai citam privāto vai publisko tiesību subjektam. Pamatojoties uz biroja aprēķiniem, kas veikti saskaņā ar saņemto informāciju, birojs var pieņemt lēmumu par virsieņēmumu ieskaitīšanu valsts budžetā.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Elektroenerģijas ražotājs, uz kuru attiecas šā panta trešajā vai ceturtajā daļā minētais izņēmums, iesniedz birojam apliecinājumu par atbilstību attiecīgajam izņēmumam. Birojs mēneša laikā izskata elektroenerģijas ražotāja iesniegto informāciju un pārbauda norādītās informācijas patiesumu. Ja iesniegtajos dokumentos norādītā informācija ir nepietiekama, nepareiza vai neprecīza, birojs informē iesniedzēju par konstatētajām nepilnībām un nosaka termiņu trūkumu novēršanai. Ja nepieciešamā informācija netiek sniegta vai trūkumi nav novērsti, birojs ir tiesīgs neiesniegto informāciju pieprasīt sistēmas operatoram, elektroenerģijas tirgotājam vai citam privāto vai publisko tiesību subjektam. Pamatojoties uz biroja aprēķiniem, kas veikti saskaņā ar saņemto informāciju, birojs var pieņemt lēmumu par neatbilstību izņēmuma piemērošanai un šā panta pirmās un otrās daļas piemērošanu.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Virsieņēmumu izlietojuma plāna īstenošana jāuzsāk gada laikā pēc plāna iesniegšanas birojā. Birojs veic šā panta piektajā daļā minētā plāna izpildes uzraudzību. Ja birojs konstatē, ka elektroenerģijas ražotājs gūtos virsieņēmumus neizlieto saskaņā ar šā panta piektajā daļā noteikto plānu, birojs gada laikā pieņem lēmumu par virsieņēmumu ieskaitīšanu valsts budžetā."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pārejas noteikumus ar 103.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"103. Ministru kabinets līdz 2023. gada 30. jūnijam izdod šā likuma 22. panta otrajā daļā minētos noteikumus."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23-TA-419</w:t>
    </w:r>
    <w:r>
      <w:br/>
    </w:r>
    <w:r w:rsidR="00000000" w:rsidRPr="00000000" w:rsidDel="00000000">
      <w:rPr>
        <w:rtl w:val="0"/>
      </w:rPr>
      <w:t xml:space="preserve">Izdrukāts 29.07.2026. 21.17 - 1.0.VK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23-TA-419</w:t>
    </w:r>
    <w:r>
      <w:br/>
    </w:r>
    <w:r w:rsidR="00000000" w:rsidRPr="00000000" w:rsidDel="00000000">
      <w:rPr>
        <w:rtl w:val="0"/>
      </w:rPr>
      <w:t xml:space="preserve">Izdrukāts 29.07.2026. 21.17 - 1.0.VK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likumprojekts_(grozījumi)_23-TA-419.docx</dc:title>
</cp:coreProperties>
</file>

<file path=docProps/custom.xml><?xml version="1.0" encoding="utf-8"?>
<Properties xmlns="http://schemas.openxmlformats.org/officeDocument/2006/custom-properties" xmlns:vt="http://schemas.openxmlformats.org/officeDocument/2006/docPropsVTypes"/>
</file>