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novembrī (prot. Nr. 56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"Rumbas"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w:t>
      </w:r>
      <w:r w:rsidR="00000000" w:rsidRPr="00000000" w:rsidDel="00000000">
        <w:rPr>
          <w:rtl w:val="0"/>
        </w:rPr>
        <w:t xml:space="preserve"> Sabiedrības vajadzībām nepieciešamā nekustamā īpašuma atsavināšanas likuma 9. panta pirmo daļu</w:t>
      </w:r>
      <w:r w:rsidR="00000000" w:rsidRPr="00000000" w:rsidDel="00000000">
        <w:rPr>
          <w:rtl w:val="0"/>
        </w:rPr>
        <w:t xml:space="preserve"> atļaut Satiksmes ministrijai pirkt nekustamā īpašuma "Rumbas" (nekustamā īpašuma kadastra Nr. 4050 002 0164) daļu – zemes vienību (zemes vienības kadastra apzīmējums 4050 004 0062) 5,4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1. punktā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1. punktā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23-TA-2444</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23-TA-2444</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rīkojuma_projekts_23-TA-2444.docx</dc:title>
</cp:coreProperties>
</file>

<file path=docProps/custom.xml><?xml version="1.0" encoding="utf-8"?>
<Properties xmlns="http://schemas.openxmlformats.org/officeDocument/2006/custom-properties" xmlns:vt="http://schemas.openxmlformats.org/officeDocument/2006/docPropsVTypes"/>
</file>