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 (Latvijas Vēstnesis, 2016, 167. nr.; 2017, 114. nr.; 2019, 146. nr.; 2020, 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Latvijas Lauksaimniecības universitātes Malnavas koledža;".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Latvijas Lauksaimniecības universitātes Malnavas koledžai – 511 407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Latvijas Lauksaimniecības universitātes Malnavas koledžai – 511 411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STEM studiju vides infrastruktūrā, kuru izmanto koledžas vajadzībām,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Sadarbības iestāde reizi gadā projekta infrastruktūras amortizācijas periodā pārbauda veikto investīciju atbilstību šo noteikumu 32.</w:t>
      </w:r>
      <w:r w:rsidR="00000000" w:rsidRPr="00000000" w:rsidDel="00000000">
        <w:rPr>
          <w:vertAlign w:val="superscript"/>
          <w:rtl w:val="0"/>
        </w:rPr>
        <w:t xml:space="preserve">1</w:t>
      </w:r>
      <w:r w:rsidR="00000000" w:rsidRPr="00000000" w:rsidDel="00000000">
        <w:rPr>
          <w:rtl w:val="0"/>
        </w:rPr>
        <w:t xml:space="preserve">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Ja sadarbības iestāde konstatē, ka ir pārkāptas šajos noteikumos noteiktās komercdarbības atbalsta kontroles normas, atbalsta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22-TA-2265</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22-TA-2265</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noteikumu_(grozījumu)_projekts_22-TA-2265.docx</dc:title>
</cp:coreProperties>
</file>

<file path=docProps/custom.xml><?xml version="1.0" encoding="utf-8"?>
<Properties xmlns="http://schemas.openxmlformats.org/officeDocument/2006/custom-properties" xmlns:vt="http://schemas.openxmlformats.org/officeDocument/2006/docPropsVTypes"/>
</file>