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16. jūnija noteikumos Nr. 310 "Noteikumi par Latvijas būvnormatīvu LBN 231-15 "Dzīvojamo un publisko ēku apkure un ventilācija""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Būvniecības likuma</w:t>
      </w:r>
      <w:r>
        <w:br/>
      </w:r>
      <w:r w:rsidR="00000000" w:rsidRPr="00000000" w:rsidDel="00000000">
        <w:rPr>
          <w:rStyle w:val="paragraph"/>
          <w:i w:val="1"/>
          <w:rtl w:val="0"/>
        </w:rPr>
        <w:t xml:space="preserve">5.panta pirmās daļas 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16. jūnija noteikumos Nr. 310 "Noteikumi par Latvijas būvnormatīvu LBN 231-15 "Dzīvojamo un publisko ēku apkure un ventilācija"" (Latvijas Vēstnesis, 2015, 119. nr.; 2020, 119. nr.; 2021, 93. nr., 204. nr.; 2022, 185. nr.; 2023, 16.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informatīvo atsauci uz Eiropas Savienības direktīvām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"Informatīva atsauce uz Eiropas Savienības direktīvām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2010. gada 19. maija Direktīvas 2010/31/ES par ēku energoefektivitāti (pārstrādāta versija);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2018. gada 30. maija Direktīvas 2018/884, ar ko groza Direktīvu 2010/31/ES par ēku energoefektivitāti un Direktīvu 2012/27/ES par energoefektivitāti.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Eiropas Parlamenta un Padomes 2024. gada 24. aprīļa direktīva (ES) Nr. 2024/1275 par ēku energoefektivitāti.";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būvnormatīva 2.10.apakšpunktu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 iekštelpu vides kvalitāte - ēkas iekšienē esošo apstākļu, kas ietekmē ēkas iemītnieku veselību un labbūtību, novērtējuma rezultāts, kura pamatā ir parametri, kas saistīti cita starpā ar temperatūru, mitrumu, ventilācijas rādītāju un kontaminantu klātbūtni.";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būvnormatīvu ar jaunu 2.30., 2.31., 2.32. un 2.33.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"2.30. gaisa kondicionēšanas sistēma – vairāku sastāvdaļu kopums, kuras ir vajadzīgas, lai nodrošinātu gaisa apstrādi telpā, kurā temperatūra tiek kontrolēta vai to var samazināt;</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ventilācijas sistēma – ēkas inženiertehniskā sistēma, kas ar dabiskiem vai mehāniskiem līdzekļiem telpai nodrošina āra gaisu;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aukstumģenerators - gaisa kondicionēšanas sistēmas daļa, kas ražo lietderīgu aukstumu telpu dzesēšanai;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apkures katls - katls ar degli, kas paredzēts tam, lai pārnestu uz šķidrumu degšanas procesā iegūto siltumu.";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būvnormatīvu ar jaunu 15.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Ja tas ir tehniski iespējami un ekonomiski pamatoti, tad jaunbūvējamu ēku aprīko ar pašregulējošām ierīcēm temperatūras atsevišķai regulēšanai katrā telpā vai noteiktā apsildītā vai dzesētā ēkas vienības zonā (piemēram, ēkas sekcijā vai telpu grupā) ar hidraulisko līdzsvarošanu.  Ja tas ir tehniski iespējami un ekonomiski pamatoti, šo prasību attiecina arī uz esošas ēkas vienības zonu, kurā maina siltumģeneratoru vai aukstumģeneratoru.";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Aizstāt būvnormatīva 25.</w:t>
      </w:r>
      <w:r w:rsidR="00000000" w:rsidRPr="00000000" w:rsidDel="00000000">
        <w:rPr>
          <w:vertAlign w:val="superscript"/>
          <w:rtl w:val="0"/>
        </w:rPr>
        <w:t xml:space="preserve">1</w:t>
      </w:r>
      <w:r w:rsidR="00000000" w:rsidRPr="00000000" w:rsidDel="00000000">
        <w:rPr>
          <w:rtl w:val="0"/>
        </w:rPr>
        <w:t xml:space="preserve"> punktā vārdus un ciparus "nepārsniedz 290 kilovatus" ar vādiem un cipariem  "nepārsniedz 70 kolovatus".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29. 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25-TA-1380</w:t>
    </w:r>
    <w:r>
      <w:br/>
    </w:r>
    <w:r w:rsidR="00000000" w:rsidRPr="00000000" w:rsidDel="00000000">
      <w:rPr>
        <w:rtl w:val="0"/>
      </w:rPr>
      <w:t xml:space="preserve">Izdrukāts 29.07.2026. 22.54 - 5.0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25-TA-1380</w:t>
    </w:r>
    <w:r>
      <w:br/>
    </w:r>
    <w:r w:rsidR="00000000" w:rsidRPr="00000000" w:rsidDel="00000000">
      <w:rPr>
        <w:rtl w:val="0"/>
      </w:rPr>
      <w:t xml:space="preserve">Izdrukāts 29.07.2026. 22.54 - 5.0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noteikumu_(grozījumu)_projekts_25-TA-1380.docx</dc:title>
</cp:coreProperties>
</file>

<file path=docProps/custom.xml><?xml version="1.0" encoding="utf-8"?>
<Properties xmlns="http://schemas.openxmlformats.org/officeDocument/2006/custom-properties" xmlns:vt="http://schemas.openxmlformats.org/officeDocument/2006/docPropsVTypes"/>
</file>