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maijā (prot. Nr. 29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finansējumu līdz 455 555 </w:t>
      </w:r>
      <w:r w:rsidR="00000000" w:rsidRPr="00000000" w:rsidDel="00000000">
        <w:rPr>
          <w:i w:val="1"/>
          <w:rtl w:val="0"/>
        </w:rPr>
        <w:t xml:space="preserve">euro </w:t>
      </w:r>
      <w:r w:rsidR="00000000" w:rsidRPr="00000000" w:rsidDel="00000000">
        <w:rPr>
          <w:rtl w:val="0"/>
        </w:rPr>
        <w:t xml:space="preserve">šādu valstiski nozīmīgu sporta pasākumu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biedrībai "Latvijas Olimpiskā komiteja" (LOK) valstiski svarīgu un neatliekamu organizatorisko un veselības aizsardzības pasākumu nodrošināšanai LOK īstenojamo jaunatnes programmu ietvaros – līdz 116 570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nozīmīgu tautas sporta pasākumu atbalstam – līdz 338 985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26-TA-1224</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26-TA-1224</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rīkojuma_projekts_26-TA-1224.docx</dc:title>
</cp:coreProperties>
</file>

<file path=docProps/custom.xml><?xml version="1.0" encoding="utf-8"?>
<Properties xmlns="http://schemas.openxmlformats.org/officeDocument/2006/custom-properties" xmlns:vt="http://schemas.openxmlformats.org/officeDocument/2006/docPropsVTypes"/>
</file>